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B14C5" w14:textId="5AFF76DB" w:rsidR="00E26E9D" w:rsidRPr="008C65F7" w:rsidRDefault="00E26E9D" w:rsidP="00E26E9D">
      <w:pPr>
        <w:tabs>
          <w:tab w:val="center" w:pos="4536"/>
          <w:tab w:val="right" w:pos="7938"/>
          <w:tab w:val="right" w:pos="9639"/>
        </w:tabs>
        <w:ind w:right="2"/>
        <w:rPr>
          <w:rFonts w:ascii="Arial" w:hAnsi="Arial" w:cs="Arial"/>
          <w:b/>
          <w:bCs/>
        </w:rPr>
      </w:pPr>
      <w:r w:rsidRPr="008C65F7">
        <w:rPr>
          <w:rFonts w:ascii="Arial" w:hAnsi="Arial" w:cs="Arial"/>
          <w:b/>
          <w:bCs/>
        </w:rPr>
        <w:t>3GPP TSG RAN WG1 #108-e</w:t>
      </w:r>
      <w:r w:rsidRPr="008C65F7">
        <w:rPr>
          <w:rFonts w:ascii="Arial" w:hAnsi="Arial" w:cs="Arial"/>
          <w:b/>
          <w:bCs/>
        </w:rPr>
        <w:tab/>
      </w:r>
      <w:r w:rsidRPr="008C65F7">
        <w:rPr>
          <w:rFonts w:ascii="Arial" w:hAnsi="Arial" w:cs="Arial"/>
          <w:b/>
          <w:bCs/>
        </w:rPr>
        <w:tab/>
      </w:r>
      <w:r w:rsidRPr="008C65F7">
        <w:rPr>
          <w:rFonts w:ascii="Arial" w:hAnsi="Arial" w:cs="Arial"/>
          <w:b/>
          <w:bCs/>
        </w:rPr>
        <w:tab/>
        <w:t>R1-220</w:t>
      </w:r>
      <w:r w:rsidR="00471C9E">
        <w:rPr>
          <w:rFonts w:ascii="Arial" w:hAnsi="Arial" w:cs="Arial"/>
          <w:b/>
          <w:bCs/>
          <w:lang w:val="en-US"/>
        </w:rPr>
        <w:t>1782</w:t>
      </w:r>
    </w:p>
    <w:p w14:paraId="0E98C2CE" w14:textId="77777777" w:rsidR="00E26E9D" w:rsidRPr="008C65F7" w:rsidRDefault="00E26E9D" w:rsidP="00E26E9D">
      <w:pPr>
        <w:tabs>
          <w:tab w:val="center" w:pos="4536"/>
          <w:tab w:val="right" w:pos="9072"/>
        </w:tabs>
        <w:rPr>
          <w:rFonts w:ascii="Arial" w:eastAsia="MS Mincho" w:hAnsi="Arial" w:cs="Arial"/>
          <w:b/>
          <w:bCs/>
          <w:lang w:eastAsia="ja-JP"/>
        </w:rPr>
      </w:pPr>
      <w:r w:rsidRPr="008C65F7">
        <w:rPr>
          <w:rFonts w:ascii="Arial" w:eastAsia="MS Mincho" w:hAnsi="Arial" w:cs="Arial"/>
          <w:b/>
          <w:bCs/>
          <w:lang w:eastAsia="ja-JP"/>
        </w:rPr>
        <w:t>e-Meeting, February 21</w:t>
      </w:r>
      <w:r w:rsidRPr="008C65F7">
        <w:rPr>
          <w:rFonts w:ascii="Arial" w:eastAsia="MS Mincho" w:hAnsi="Arial" w:cs="Arial"/>
          <w:b/>
          <w:bCs/>
          <w:vertAlign w:val="superscript"/>
          <w:lang w:eastAsia="ja-JP"/>
        </w:rPr>
        <w:t>st</w:t>
      </w:r>
      <w:r w:rsidRPr="008C65F7">
        <w:rPr>
          <w:rFonts w:ascii="Arial" w:eastAsia="MS Mincho" w:hAnsi="Arial" w:cs="Arial"/>
          <w:b/>
          <w:bCs/>
          <w:lang w:eastAsia="ja-JP"/>
        </w:rPr>
        <w:t xml:space="preserve"> – March 3</w:t>
      </w:r>
      <w:r w:rsidRPr="008C65F7">
        <w:rPr>
          <w:rFonts w:ascii="Arial" w:eastAsia="MS Mincho" w:hAnsi="Arial" w:cs="Arial"/>
          <w:b/>
          <w:bCs/>
          <w:vertAlign w:val="superscript"/>
          <w:lang w:eastAsia="ja-JP"/>
        </w:rPr>
        <w:t>rd</w:t>
      </w:r>
      <w:r w:rsidRPr="008C65F7">
        <w:rPr>
          <w:rFonts w:ascii="Arial" w:eastAsia="MS Mincho" w:hAnsi="Arial" w:cs="Arial"/>
          <w:b/>
          <w:bCs/>
          <w:lang w:eastAsia="ja-JP"/>
        </w:rPr>
        <w:t>, 2022</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0DB80423"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AC4BE0" w:rsidRPr="007537DC">
        <w:rPr>
          <w:rFonts w:ascii="Arial" w:hAnsi="Arial" w:cs="Arial"/>
          <w:b/>
          <w:lang w:val="en-US"/>
        </w:rPr>
        <w:t>8</w:t>
      </w:r>
      <w:r w:rsidRPr="007537DC">
        <w:rPr>
          <w:rFonts w:ascii="Arial" w:hAnsi="Arial" w:cs="Arial"/>
          <w:b/>
        </w:rPr>
        <w:t>.</w:t>
      </w:r>
      <w:r w:rsidR="00AC4BE0" w:rsidRPr="007537DC">
        <w:rPr>
          <w:rFonts w:ascii="Arial" w:hAnsi="Arial" w:cs="Arial"/>
          <w:b/>
          <w:lang w:val="en-US"/>
        </w:rPr>
        <w:t>8.1.</w:t>
      </w:r>
      <w:r w:rsidR="005A1966" w:rsidRPr="007537DC">
        <w:rPr>
          <w:rFonts w:ascii="Arial" w:hAnsi="Arial" w:cs="Arial"/>
          <w:b/>
          <w:lang w:val="en-US"/>
        </w:rPr>
        <w:t>3</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11828230"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69694E" w:rsidRPr="00C46F4D">
        <w:rPr>
          <w:rFonts w:ascii="Arial" w:hAnsi="Arial" w:cs="Arial"/>
          <w:b/>
          <w:lang w:val="en-US"/>
        </w:rPr>
        <w:t xml:space="preserve">Remaining </w:t>
      </w:r>
      <w:r w:rsidR="0069694E">
        <w:rPr>
          <w:rFonts w:ascii="Arial" w:hAnsi="Arial" w:cs="Arial"/>
          <w:b/>
          <w:lang w:val="en-US"/>
        </w:rPr>
        <w:t>issues</w:t>
      </w:r>
      <w:r w:rsidR="009D3FB1" w:rsidRPr="007537DC">
        <w:rPr>
          <w:rFonts w:ascii="Arial" w:hAnsi="Arial" w:cs="Arial"/>
          <w:b/>
          <w:lang w:val="en-US"/>
        </w:rPr>
        <w:t xml:space="preserve"> on </w:t>
      </w:r>
      <w:r w:rsidR="00F16D81" w:rsidRPr="007537DC">
        <w:rPr>
          <w:rFonts w:ascii="Arial" w:hAnsi="Arial" w:cs="Arial"/>
          <w:b/>
          <w:lang w:val="en-US"/>
        </w:rPr>
        <w:t>joint</w:t>
      </w:r>
      <w:r w:rsidR="009D3FB1" w:rsidRPr="007537DC">
        <w:rPr>
          <w:rFonts w:ascii="Arial" w:hAnsi="Arial" w:cs="Arial"/>
          <w:b/>
          <w:lang w:val="en-US"/>
        </w:rPr>
        <w:t xml:space="preserve"> channel estimation for PUSCH</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E58E9C5" w14:textId="1C6234B8" w:rsidR="000F1451" w:rsidRPr="00974C1A" w:rsidRDefault="008733FD" w:rsidP="001B1314">
      <w:pPr>
        <w:spacing w:after="120"/>
        <w:rPr>
          <w:rFonts w:eastAsia="SimSun"/>
          <w:noProof/>
          <w:sz w:val="20"/>
          <w:szCs w:val="20"/>
          <w:lang w:val="en-US" w:eastAsia="en-US"/>
        </w:rPr>
      </w:pPr>
      <w:r w:rsidRPr="00974C1A">
        <w:rPr>
          <w:rFonts w:eastAsia="SimSun"/>
          <w:noProof/>
          <w:sz w:val="20"/>
          <w:szCs w:val="20"/>
          <w:lang w:val="en-US" w:eastAsia="en-US"/>
        </w:rPr>
        <w:t>In RAN1#10</w:t>
      </w:r>
      <w:r w:rsidR="0074730B">
        <w:rPr>
          <w:rFonts w:eastAsia="SimSun"/>
          <w:noProof/>
          <w:sz w:val="20"/>
          <w:szCs w:val="20"/>
          <w:lang w:val="en-US" w:eastAsia="en-US"/>
        </w:rPr>
        <w:t>7</w:t>
      </w:r>
      <w:r w:rsidR="003E527D">
        <w:rPr>
          <w:rFonts w:eastAsia="SimSun"/>
          <w:noProof/>
          <w:sz w:val="20"/>
          <w:szCs w:val="20"/>
          <w:lang w:val="en-US" w:eastAsia="en-US"/>
        </w:rPr>
        <w:t>bis</w:t>
      </w:r>
      <w:r w:rsidRPr="00974C1A">
        <w:rPr>
          <w:rFonts w:eastAsia="SimSun"/>
          <w:noProof/>
          <w:sz w:val="20"/>
          <w:szCs w:val="20"/>
          <w:lang w:val="en-US" w:eastAsia="en-US"/>
        </w:rPr>
        <w:t xml:space="preserve">-e meeting, </w:t>
      </w:r>
      <w:r w:rsidR="00C90321">
        <w:rPr>
          <w:rFonts w:eastAsia="SimSun"/>
          <w:noProof/>
          <w:sz w:val="20"/>
          <w:szCs w:val="20"/>
          <w:lang w:val="en-US" w:eastAsia="en-US"/>
        </w:rPr>
        <w:t>multiple</w:t>
      </w:r>
      <w:r w:rsidR="008E0037" w:rsidRPr="00974C1A">
        <w:rPr>
          <w:rFonts w:eastAsia="SimSun"/>
          <w:noProof/>
          <w:sz w:val="20"/>
          <w:szCs w:val="20"/>
          <w:lang w:val="en-US" w:eastAsia="en-US"/>
        </w:rPr>
        <w:t xml:space="preserve"> agreement</w:t>
      </w:r>
      <w:r w:rsidRPr="00974C1A">
        <w:rPr>
          <w:rFonts w:eastAsia="SimSun"/>
          <w:noProof/>
          <w:sz w:val="20"/>
          <w:szCs w:val="20"/>
          <w:lang w:val="en-US" w:eastAsia="en-US"/>
        </w:rPr>
        <w:t xml:space="preserve">s </w:t>
      </w:r>
      <w:r w:rsidR="008E0037" w:rsidRPr="00974C1A">
        <w:rPr>
          <w:rFonts w:eastAsia="SimSun"/>
          <w:noProof/>
          <w:sz w:val="20"/>
          <w:szCs w:val="20"/>
          <w:lang w:val="en-US" w:eastAsia="en-US"/>
        </w:rPr>
        <w:t>were reached</w:t>
      </w:r>
      <w:r w:rsidR="001B1314" w:rsidRPr="00974C1A">
        <w:rPr>
          <w:rFonts w:eastAsia="SimSun"/>
          <w:noProof/>
          <w:sz w:val="20"/>
          <w:szCs w:val="20"/>
          <w:lang w:val="en-US" w:eastAsia="en-US"/>
        </w:rPr>
        <w:t xml:space="preserve"> </w:t>
      </w:r>
      <w:r w:rsidR="00C90321">
        <w:rPr>
          <w:rFonts w:eastAsia="SimSun"/>
          <w:noProof/>
          <w:sz w:val="20"/>
          <w:szCs w:val="20"/>
          <w:lang w:val="en-US" w:eastAsia="en-US"/>
        </w:rPr>
        <w:t>on joint channel estimation for PUSCH</w:t>
      </w:r>
      <w:r w:rsidR="00E900D2" w:rsidRPr="00E900D2">
        <w:rPr>
          <w:rFonts w:eastAsia="SimSun"/>
          <w:noProof/>
          <w:sz w:val="20"/>
          <w:szCs w:val="20"/>
          <w:lang w:val="en-US" w:eastAsia="en-US"/>
        </w:rPr>
        <w:t xml:space="preserve"> </w:t>
      </w:r>
      <w:r w:rsidR="00E900D2" w:rsidRPr="00974C1A">
        <w:rPr>
          <w:rFonts w:eastAsia="SimSun"/>
          <w:noProof/>
          <w:sz w:val="20"/>
          <w:szCs w:val="20"/>
          <w:lang w:val="en-US" w:eastAsia="en-US"/>
        </w:rPr>
        <w:t>in [1]</w:t>
      </w:r>
      <w:r w:rsidR="008E0037" w:rsidRPr="00974C1A">
        <w:rPr>
          <w:rFonts w:eastAsia="SimSun"/>
          <w:noProof/>
          <w:sz w:val="20"/>
          <w:szCs w:val="20"/>
          <w:lang w:val="en-US" w:eastAsia="en-US"/>
        </w:rPr>
        <w:t>.</w:t>
      </w:r>
      <w:r w:rsidR="00834A64">
        <w:rPr>
          <w:rFonts w:eastAsia="SimSun"/>
          <w:noProof/>
          <w:sz w:val="20"/>
          <w:szCs w:val="20"/>
          <w:lang w:val="en-US" w:eastAsia="en-US"/>
        </w:rPr>
        <w:t xml:space="preserve"> One working assumption was made on TPC comnand application for DMRS bundling.</w:t>
      </w:r>
    </w:p>
    <w:p w14:paraId="560B9657" w14:textId="438EEAD4" w:rsidR="0039135A" w:rsidRPr="00974C1A" w:rsidRDefault="0025389B" w:rsidP="00FC0612">
      <w:pPr>
        <w:spacing w:before="120"/>
        <w:rPr>
          <w:rFonts w:eastAsia="MS Mincho"/>
          <w:sz w:val="20"/>
          <w:szCs w:val="20"/>
          <w:lang w:val="en-US" w:eastAsia="ja-JP"/>
        </w:rPr>
      </w:pPr>
      <w:r w:rsidRPr="00974C1A">
        <w:rPr>
          <w:rFonts w:eastAsia="MS Mincho"/>
          <w:sz w:val="20"/>
          <w:szCs w:val="20"/>
          <w:lang w:eastAsia="ja-JP"/>
        </w:rPr>
        <w:t xml:space="preserve">In this contribution, we discuss </w:t>
      </w:r>
      <w:r w:rsidR="008733FD" w:rsidRPr="00974C1A">
        <w:rPr>
          <w:rFonts w:eastAsia="MS Mincho"/>
          <w:sz w:val="20"/>
          <w:szCs w:val="20"/>
          <w:lang w:val="en-US" w:eastAsia="ja-JP"/>
        </w:rPr>
        <w:t xml:space="preserve">the </w:t>
      </w:r>
      <w:r w:rsidR="00834A64">
        <w:rPr>
          <w:rFonts w:eastAsia="MS Mincho"/>
          <w:sz w:val="20"/>
          <w:szCs w:val="20"/>
          <w:lang w:val="en-US" w:eastAsia="ja-JP"/>
        </w:rPr>
        <w:t xml:space="preserve">remaining issues on </w:t>
      </w:r>
      <w:r w:rsidR="00F16D81" w:rsidRPr="00974C1A">
        <w:rPr>
          <w:rFonts w:eastAsia="MS Mincho"/>
          <w:sz w:val="20"/>
          <w:szCs w:val="20"/>
          <w:lang w:val="en-US" w:eastAsia="ja-JP"/>
        </w:rPr>
        <w:t>joint</w:t>
      </w:r>
      <w:r w:rsidR="000F1451" w:rsidRPr="00974C1A">
        <w:rPr>
          <w:rFonts w:eastAsia="MS Mincho"/>
          <w:sz w:val="20"/>
          <w:szCs w:val="20"/>
          <w:lang w:val="en-US" w:eastAsia="ja-JP"/>
        </w:rPr>
        <w:t xml:space="preserve"> channel estimation for PUSCH transmission</w:t>
      </w:r>
      <w:r w:rsidR="008733FD" w:rsidRPr="00974C1A">
        <w:rPr>
          <w:rFonts w:eastAsia="MS Mincho"/>
          <w:sz w:val="20"/>
          <w:szCs w:val="20"/>
          <w:lang w:val="en-US" w:eastAsia="ja-JP"/>
        </w:rPr>
        <w:t xml:space="preserve"> and give our proposals</w:t>
      </w:r>
      <w:r w:rsidR="0039135A" w:rsidRPr="00974C1A">
        <w:rPr>
          <w:rFonts w:eastAsia="MS Mincho"/>
          <w:sz w:val="20"/>
          <w:szCs w:val="20"/>
          <w:lang w:val="en-US" w:eastAsia="ja-JP"/>
        </w:rPr>
        <w:t>.</w:t>
      </w:r>
    </w:p>
    <w:p w14:paraId="57F74D79" w14:textId="7D3604EC"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E2023A" w:rsidRPr="00974C1A">
        <w:rPr>
          <w:rFonts w:cs="Arial"/>
          <w:bCs/>
          <w:sz w:val="20"/>
          <w:lang w:val="en-US" w:eastAsia="zh-CN"/>
        </w:rPr>
        <w:t>joint channel estimation</w:t>
      </w:r>
    </w:p>
    <w:p w14:paraId="3185B747" w14:textId="7159D467" w:rsidR="00B51F09" w:rsidRDefault="000A4C90" w:rsidP="000C074D">
      <w:pPr>
        <w:spacing w:before="120" w:after="120"/>
        <w:rPr>
          <w:color w:val="000000"/>
          <w:sz w:val="20"/>
          <w:szCs w:val="20"/>
          <w:lang w:val="en-US"/>
        </w:rPr>
      </w:pPr>
      <w:r>
        <w:rPr>
          <w:color w:val="000000"/>
          <w:sz w:val="20"/>
          <w:szCs w:val="20"/>
          <w:lang w:val="en-US"/>
        </w:rPr>
        <w:t xml:space="preserve">Regarding the TPC command application, the following working assumption </w:t>
      </w:r>
      <w:r w:rsidR="00B41FD4">
        <w:rPr>
          <w:color w:val="000000"/>
          <w:sz w:val="20"/>
          <w:szCs w:val="20"/>
          <w:lang w:val="en-US"/>
        </w:rPr>
        <w:t>was</w:t>
      </w:r>
      <w:r>
        <w:rPr>
          <w:color w:val="000000"/>
          <w:sz w:val="20"/>
          <w:szCs w:val="20"/>
          <w:lang w:val="en-US"/>
        </w:rPr>
        <w:t xml:space="preserve"> made in RAN1</w:t>
      </w:r>
      <w:r w:rsidR="00576C6A">
        <w:rPr>
          <w:color w:val="000000"/>
          <w:sz w:val="20"/>
          <w:szCs w:val="20"/>
          <w:lang w:val="en-US"/>
        </w:rPr>
        <w:t>#107-e</w:t>
      </w:r>
      <w:r>
        <w:rPr>
          <w:color w:val="000000"/>
          <w:sz w:val="20"/>
          <w:szCs w:val="20"/>
          <w:lang w:val="en-US"/>
        </w:rPr>
        <w:t xml:space="preserve"> meeting</w:t>
      </w:r>
      <w:r w:rsidR="00974C1A">
        <w:rPr>
          <w:color w:val="000000"/>
          <w:sz w:val="20"/>
          <w:szCs w:val="20"/>
          <w:lang w:val="en-US"/>
        </w:rPr>
        <w:t>.</w:t>
      </w:r>
      <w:r w:rsidR="00BE5053">
        <w:rPr>
          <w:color w:val="000000"/>
          <w:sz w:val="20"/>
          <w:szCs w:val="20"/>
          <w:lang w:val="en-US"/>
        </w:rPr>
        <w:t xml:space="preserve"> According to the working assumption, TPC command is only applied to next configured TDW, it minimized the impact of missing dynamic event, </w:t>
      </w:r>
      <w:r w:rsidR="004B3528">
        <w:rPr>
          <w:color w:val="000000"/>
          <w:sz w:val="20"/>
          <w:szCs w:val="20"/>
          <w:lang w:val="en-US"/>
        </w:rPr>
        <w:t>the UE don’t need to check the dynamic event then to determine the application of TPC command,</w:t>
      </w:r>
      <w:r w:rsidR="00BE5053">
        <w:rPr>
          <w:color w:val="000000"/>
          <w:sz w:val="20"/>
          <w:szCs w:val="20"/>
          <w:lang w:val="en-US"/>
        </w:rPr>
        <w:t xml:space="preserve"> it</w:t>
      </w:r>
      <w:r w:rsidR="004B3528">
        <w:rPr>
          <w:color w:val="000000"/>
          <w:sz w:val="20"/>
          <w:szCs w:val="20"/>
          <w:lang w:val="en-US"/>
        </w:rPr>
        <w:t>’</w:t>
      </w:r>
      <w:r w:rsidR="00BE5053">
        <w:rPr>
          <w:color w:val="000000"/>
          <w:sz w:val="20"/>
          <w:szCs w:val="20"/>
          <w:lang w:val="en-US"/>
        </w:rPr>
        <w:t xml:space="preserve">s friendly to UE implementation. </w:t>
      </w:r>
      <w:r w:rsidR="009E19E6">
        <w:rPr>
          <w:color w:val="000000"/>
          <w:sz w:val="20"/>
          <w:szCs w:val="20"/>
          <w:lang w:val="en-US"/>
        </w:rPr>
        <w:t>However</w:t>
      </w:r>
      <w:r w:rsidR="00B51F09">
        <w:rPr>
          <w:color w:val="000000"/>
          <w:sz w:val="20"/>
          <w:szCs w:val="20"/>
          <w:lang w:val="en-US"/>
        </w:rPr>
        <w:t>,</w:t>
      </w:r>
      <w:r w:rsidR="009E19E6">
        <w:rPr>
          <w:color w:val="000000"/>
          <w:sz w:val="20"/>
          <w:szCs w:val="20"/>
          <w:lang w:val="en-US"/>
        </w:rPr>
        <w:t xml:space="preserve"> one issue for the working assumption is </w:t>
      </w:r>
      <w:r w:rsidR="00B51F09">
        <w:rPr>
          <w:color w:val="000000"/>
          <w:sz w:val="20"/>
          <w:szCs w:val="20"/>
          <w:lang w:val="en-US"/>
        </w:rPr>
        <w:t xml:space="preserve">which TPC command will be applied to the next configured TDW. </w:t>
      </w:r>
    </w:p>
    <w:p w14:paraId="6B4A9035" w14:textId="2E47F26A" w:rsidR="00B51F09" w:rsidRDefault="00264CA6" w:rsidP="000C074D">
      <w:pPr>
        <w:spacing w:before="120" w:after="120"/>
        <w:rPr>
          <w:color w:val="000000"/>
          <w:sz w:val="20"/>
          <w:szCs w:val="20"/>
          <w:lang w:val="en-US"/>
        </w:rPr>
      </w:pPr>
      <w:r>
        <w:rPr>
          <w:color w:val="000000"/>
          <w:sz w:val="20"/>
          <w:szCs w:val="20"/>
          <w:lang w:val="en-US"/>
        </w:rPr>
        <w:t xml:space="preserve">This working assumption is only used for NR FDD, thus the configured TDWs are consecutive, there is no slot gap between the TDWs. </w:t>
      </w:r>
      <w:r w:rsidR="00B51F09">
        <w:rPr>
          <w:color w:val="000000"/>
          <w:sz w:val="20"/>
          <w:szCs w:val="20"/>
          <w:lang w:val="en-US"/>
        </w:rPr>
        <w:t xml:space="preserve">For accumulate </w:t>
      </w:r>
      <w:r w:rsidR="008B1555">
        <w:rPr>
          <w:color w:val="000000"/>
          <w:sz w:val="20"/>
          <w:szCs w:val="20"/>
          <w:lang w:val="en-US"/>
        </w:rPr>
        <w:t>power control, the TPC</w:t>
      </w:r>
      <w:r w:rsidR="002A5C4D">
        <w:rPr>
          <w:color w:val="000000"/>
          <w:sz w:val="20"/>
          <w:szCs w:val="20"/>
          <w:lang w:val="en-US"/>
        </w:rPr>
        <w:t xml:space="preserve"> command</w:t>
      </w:r>
      <w:r w:rsidR="008B1555">
        <w:rPr>
          <w:color w:val="000000"/>
          <w:sz w:val="20"/>
          <w:szCs w:val="20"/>
          <w:lang w:val="en-US"/>
        </w:rPr>
        <w:t xml:space="preserve"> accumulation from the previous TDW may not apply to the current</w:t>
      </w:r>
      <w:r>
        <w:rPr>
          <w:color w:val="000000"/>
          <w:sz w:val="20"/>
          <w:szCs w:val="20"/>
          <w:lang w:val="en-US"/>
        </w:rPr>
        <w:t xml:space="preserve"> configured</w:t>
      </w:r>
      <w:r w:rsidR="008B1555">
        <w:rPr>
          <w:color w:val="000000"/>
          <w:sz w:val="20"/>
          <w:szCs w:val="20"/>
          <w:lang w:val="en-US"/>
        </w:rPr>
        <w:t xml:space="preserve"> TD</w:t>
      </w:r>
      <w:r w:rsidR="001D579A">
        <w:rPr>
          <w:color w:val="000000"/>
          <w:sz w:val="20"/>
          <w:szCs w:val="20"/>
          <w:lang w:val="en-US"/>
        </w:rPr>
        <w:t>W</w:t>
      </w:r>
      <w:r w:rsidR="008B1555">
        <w:rPr>
          <w:color w:val="000000"/>
          <w:sz w:val="20"/>
          <w:szCs w:val="20"/>
          <w:lang w:val="en-US"/>
        </w:rPr>
        <w:t xml:space="preserve">, </w:t>
      </w:r>
      <w:r>
        <w:rPr>
          <w:color w:val="000000"/>
          <w:sz w:val="20"/>
          <w:szCs w:val="20"/>
          <w:lang w:val="en-US"/>
        </w:rPr>
        <w:t>since</w:t>
      </w:r>
      <w:r w:rsidR="008B1555">
        <w:rPr>
          <w:color w:val="000000"/>
          <w:sz w:val="20"/>
          <w:szCs w:val="20"/>
          <w:lang w:val="en-US"/>
        </w:rPr>
        <w:t xml:space="preserve"> UE need process time to handle the TPC command. For the absolute power control, in working assumption the last TPC command is applied by the UE after the current configured TDW, the received last TPC command could be smaller than the UE processing time, which could not be applied </w:t>
      </w:r>
      <w:r>
        <w:rPr>
          <w:color w:val="000000"/>
          <w:sz w:val="20"/>
          <w:szCs w:val="20"/>
          <w:lang w:val="en-US"/>
        </w:rPr>
        <w:t>to the current configured TDW.</w:t>
      </w:r>
      <w:r w:rsidR="001D579A">
        <w:rPr>
          <w:color w:val="000000"/>
          <w:sz w:val="20"/>
          <w:szCs w:val="20"/>
          <w:lang w:val="en-US"/>
        </w:rPr>
        <w:t xml:space="preserve"> Therefore, the main bullet of the working assumption can be confirmed, other bullets need more discussion. </w:t>
      </w:r>
    </w:p>
    <w:tbl>
      <w:tblPr>
        <w:tblStyle w:val="TableGrid"/>
        <w:tblW w:w="0" w:type="auto"/>
        <w:tblLook w:val="04A0" w:firstRow="1" w:lastRow="0" w:firstColumn="1" w:lastColumn="0" w:noHBand="0" w:noVBand="1"/>
      </w:tblPr>
      <w:tblGrid>
        <w:gridCol w:w="9629"/>
      </w:tblGrid>
      <w:tr w:rsidR="00974C1A" w:rsidRPr="00974C1A" w14:paraId="7006FE1E" w14:textId="77777777" w:rsidTr="00974C1A">
        <w:tc>
          <w:tcPr>
            <w:tcW w:w="9629" w:type="dxa"/>
          </w:tcPr>
          <w:p w14:paraId="03664A15" w14:textId="12B70205" w:rsidR="00C90321" w:rsidRPr="00F64232" w:rsidRDefault="00760836" w:rsidP="00C90321">
            <w:pPr>
              <w:rPr>
                <w:rFonts w:ascii="Arial" w:hAnsi="Arial" w:cs="Arial"/>
                <w:b/>
                <w:sz w:val="20"/>
                <w:szCs w:val="20"/>
                <w:highlight w:val="darkYellow"/>
                <w:lang w:val="en-US"/>
              </w:rPr>
            </w:pPr>
            <w:r>
              <w:rPr>
                <w:color w:val="000000"/>
                <w:sz w:val="20"/>
                <w:szCs w:val="20"/>
                <w:lang w:val="en-US"/>
              </w:rPr>
              <w:t xml:space="preserve"> </w:t>
            </w:r>
            <w:r w:rsidR="00C90321" w:rsidRPr="00C90321">
              <w:rPr>
                <w:rFonts w:ascii="Arial" w:hAnsi="Arial" w:cs="Arial"/>
                <w:b/>
                <w:sz w:val="20"/>
                <w:szCs w:val="20"/>
                <w:highlight w:val="darkYellow"/>
              </w:rPr>
              <w:t>Working assumption:</w:t>
            </w:r>
            <w:r w:rsidR="00F64232">
              <w:rPr>
                <w:rFonts w:ascii="Arial" w:hAnsi="Arial" w:cs="Arial"/>
                <w:b/>
                <w:sz w:val="20"/>
                <w:szCs w:val="20"/>
                <w:highlight w:val="darkYellow"/>
                <w:lang w:val="en-US"/>
              </w:rPr>
              <w:t xml:space="preserve"> </w:t>
            </w:r>
            <w:r w:rsidR="00F64232" w:rsidRPr="00F64232">
              <w:rPr>
                <w:rFonts w:ascii="Arial" w:hAnsi="Arial" w:cs="Arial"/>
                <w:bCs/>
                <w:sz w:val="20"/>
                <w:szCs w:val="20"/>
                <w:lang w:val="en-US"/>
              </w:rPr>
              <w:t>[</w:t>
            </w:r>
            <w:r w:rsidR="003E527D">
              <w:rPr>
                <w:rFonts w:ascii="Arial" w:hAnsi="Arial" w:cs="Arial"/>
                <w:bCs/>
                <w:sz w:val="20"/>
                <w:szCs w:val="20"/>
                <w:lang w:val="en-US"/>
              </w:rPr>
              <w:t>2</w:t>
            </w:r>
            <w:r w:rsidR="00F64232" w:rsidRPr="00F64232">
              <w:rPr>
                <w:rFonts w:ascii="Arial" w:hAnsi="Arial" w:cs="Arial"/>
                <w:bCs/>
                <w:sz w:val="20"/>
                <w:szCs w:val="20"/>
                <w:lang w:val="en-US"/>
              </w:rPr>
              <w:t>]</w:t>
            </w:r>
          </w:p>
          <w:p w14:paraId="0634AEF8" w14:textId="77777777" w:rsidR="00C90321" w:rsidRPr="00C90321" w:rsidRDefault="00C90321" w:rsidP="00C90321">
            <w:pPr>
              <w:pStyle w:val="ListParagraph"/>
              <w:numPr>
                <w:ilvl w:val="0"/>
                <w:numId w:val="30"/>
              </w:numPr>
              <w:autoSpaceDE w:val="0"/>
              <w:autoSpaceDN w:val="0"/>
              <w:adjustRightInd w:val="0"/>
              <w:snapToGrid w:val="0"/>
              <w:spacing w:after="120" w:line="259" w:lineRule="auto"/>
              <w:rPr>
                <w:rFonts w:ascii="Arial" w:hAnsi="Arial" w:cs="Arial"/>
                <w:sz w:val="20"/>
                <w:szCs w:val="20"/>
                <w:lang w:eastAsia="zh-CN"/>
              </w:rPr>
            </w:pPr>
            <w:r w:rsidRPr="00C90321">
              <w:rPr>
                <w:rFonts w:ascii="Arial" w:hAnsi="Arial" w:cs="Arial"/>
                <w:sz w:val="20"/>
                <w:szCs w:val="20"/>
                <w:lang w:eastAsia="zh-CN"/>
              </w:rPr>
              <w:t>The action of group common TPC commands with format 2_2 does not constitute an event that violates power consistency and phase continuity.</w:t>
            </w:r>
          </w:p>
          <w:p w14:paraId="2E29216F" w14:textId="77777777" w:rsidR="00C90321" w:rsidRPr="00C90321" w:rsidRDefault="00C90321" w:rsidP="00C90321">
            <w:pPr>
              <w:pStyle w:val="ListParagraph"/>
              <w:numPr>
                <w:ilvl w:val="1"/>
                <w:numId w:val="25"/>
              </w:numPr>
              <w:autoSpaceDE w:val="0"/>
              <w:autoSpaceDN w:val="0"/>
              <w:adjustRightInd w:val="0"/>
              <w:snapToGrid w:val="0"/>
              <w:spacing w:line="240" w:lineRule="auto"/>
              <w:ind w:left="780"/>
              <w:rPr>
                <w:rFonts w:ascii="Arial" w:hAnsi="Arial" w:cs="Arial"/>
                <w:sz w:val="20"/>
                <w:szCs w:val="20"/>
              </w:rPr>
            </w:pPr>
            <w:r w:rsidRPr="00C90321">
              <w:rPr>
                <w:rFonts w:ascii="Arial" w:hAnsi="Arial" w:cs="Arial"/>
                <w:sz w:val="20"/>
                <w:szCs w:val="20"/>
                <w:lang w:eastAsia="zh-CN"/>
              </w:rPr>
              <w:t xml:space="preserve">If UE is configured to </w:t>
            </w:r>
            <w:r w:rsidRPr="00C90321">
              <w:rPr>
                <w:rFonts w:ascii="Arial" w:hAnsi="Arial" w:cs="Arial"/>
                <w:bCs/>
                <w:sz w:val="20"/>
                <w:szCs w:val="20"/>
              </w:rPr>
              <w:t>accumulate TPC commands,</w:t>
            </w:r>
          </w:p>
          <w:p w14:paraId="7AF461C8" w14:textId="77777777" w:rsidR="00C90321" w:rsidRPr="00C90321" w:rsidRDefault="00C90321" w:rsidP="00C90321">
            <w:pPr>
              <w:numPr>
                <w:ilvl w:val="2"/>
                <w:numId w:val="10"/>
              </w:numPr>
              <w:autoSpaceDE w:val="0"/>
              <w:autoSpaceDN w:val="0"/>
              <w:adjustRightInd w:val="0"/>
              <w:snapToGrid w:val="0"/>
              <w:spacing w:line="240" w:lineRule="auto"/>
              <w:rPr>
                <w:rFonts w:ascii="Arial" w:eastAsia="SimSun" w:hAnsi="Arial" w:cs="Arial"/>
                <w:sz w:val="20"/>
                <w:szCs w:val="20"/>
              </w:rPr>
            </w:pPr>
            <w:r w:rsidRPr="00C90321">
              <w:rPr>
                <w:rFonts w:ascii="Arial" w:eastAsia="SimSun" w:hAnsi="Arial" w:cs="Arial"/>
                <w:sz w:val="20"/>
                <w:szCs w:val="20"/>
              </w:rPr>
              <w:t>If UE receives TPC commands that would take into effect during a configured TDW, UE accumulates TPC commands without taking effect during the current configured TDW. TPC commands take effect after the current configured TDW.</w:t>
            </w:r>
          </w:p>
          <w:p w14:paraId="0C583A48" w14:textId="77777777" w:rsidR="00C90321" w:rsidRPr="00C90321" w:rsidRDefault="00C90321" w:rsidP="00C90321">
            <w:pPr>
              <w:pStyle w:val="ListParagraph"/>
              <w:numPr>
                <w:ilvl w:val="1"/>
                <w:numId w:val="25"/>
              </w:numPr>
              <w:autoSpaceDE w:val="0"/>
              <w:autoSpaceDN w:val="0"/>
              <w:adjustRightInd w:val="0"/>
              <w:snapToGrid w:val="0"/>
              <w:spacing w:line="240" w:lineRule="auto"/>
              <w:ind w:left="780"/>
              <w:rPr>
                <w:rFonts w:ascii="Arial" w:hAnsi="Arial" w:cs="Arial"/>
                <w:sz w:val="20"/>
                <w:szCs w:val="20"/>
                <w:lang w:eastAsia="zh-CN"/>
              </w:rPr>
            </w:pPr>
            <w:r w:rsidRPr="00C90321">
              <w:rPr>
                <w:rFonts w:ascii="Arial" w:hAnsi="Arial" w:cs="Arial"/>
                <w:sz w:val="20"/>
                <w:szCs w:val="20"/>
                <w:lang w:eastAsia="zh-CN"/>
              </w:rPr>
              <w:t>If UE is not configured to accumulate TPC commands</w:t>
            </w:r>
          </w:p>
          <w:p w14:paraId="2FC0A31D" w14:textId="77777777" w:rsidR="00C90321" w:rsidRPr="00C90321" w:rsidRDefault="00C90321" w:rsidP="00C90321">
            <w:pPr>
              <w:numPr>
                <w:ilvl w:val="2"/>
                <w:numId w:val="10"/>
              </w:numPr>
              <w:autoSpaceDE w:val="0"/>
              <w:autoSpaceDN w:val="0"/>
              <w:adjustRightInd w:val="0"/>
              <w:snapToGrid w:val="0"/>
              <w:spacing w:line="240" w:lineRule="auto"/>
              <w:rPr>
                <w:rFonts w:ascii="Arial" w:eastAsia="SimSun" w:hAnsi="Arial" w:cs="Arial"/>
                <w:sz w:val="20"/>
                <w:szCs w:val="20"/>
              </w:rPr>
            </w:pPr>
            <w:r w:rsidRPr="00C90321">
              <w:rPr>
                <w:rFonts w:ascii="Arial" w:eastAsia="SimSun" w:hAnsi="Arial" w:cs="Arial"/>
                <w:sz w:val="20"/>
                <w:szCs w:val="20"/>
              </w:rPr>
              <w:t xml:space="preserve">the last TPC command that would take effect within a configured TDW supersedes all previous TPC commands that take effect within that configured TDW and only the last TPC command is applied by the UE after the current configured TDW. </w:t>
            </w:r>
          </w:p>
          <w:p w14:paraId="4356B267" w14:textId="7AF3C87B" w:rsidR="00974C1A" w:rsidRPr="00C90321" w:rsidRDefault="00C90321" w:rsidP="00C90321">
            <w:pPr>
              <w:numPr>
                <w:ilvl w:val="3"/>
                <w:numId w:val="10"/>
              </w:numPr>
              <w:autoSpaceDE w:val="0"/>
              <w:autoSpaceDN w:val="0"/>
              <w:adjustRightInd w:val="0"/>
              <w:snapToGrid w:val="0"/>
              <w:spacing w:line="240" w:lineRule="auto"/>
              <w:rPr>
                <w:rFonts w:ascii="Arial" w:eastAsia="SimSun" w:hAnsi="Arial" w:cs="Arial"/>
              </w:rPr>
            </w:pPr>
            <w:r w:rsidRPr="00C90321">
              <w:rPr>
                <w:rFonts w:ascii="Arial" w:eastAsia="SimSun" w:hAnsi="Arial" w:cs="Arial"/>
                <w:sz w:val="20"/>
                <w:szCs w:val="20"/>
              </w:rPr>
              <w:t>FFS: no more than 1 TPC command is expected to take effect during a configured TDW.</w:t>
            </w:r>
          </w:p>
        </w:tc>
      </w:tr>
    </w:tbl>
    <w:p w14:paraId="51BE990F" w14:textId="734CD0C7" w:rsidR="009E19E6" w:rsidRDefault="00F43354" w:rsidP="00F43354">
      <w:pPr>
        <w:spacing w:before="120" w:after="120"/>
        <w:rPr>
          <w:b/>
          <w:bCs/>
          <w:color w:val="000000"/>
          <w:sz w:val="20"/>
          <w:szCs w:val="20"/>
          <w:lang w:val="en-US"/>
        </w:rPr>
      </w:pPr>
      <w:r w:rsidRPr="00974C1A">
        <w:rPr>
          <w:b/>
          <w:bCs/>
          <w:color w:val="000000"/>
          <w:sz w:val="20"/>
          <w:szCs w:val="20"/>
          <w:lang w:val="en-US"/>
        </w:rPr>
        <w:t xml:space="preserve">Proposal 1: </w:t>
      </w:r>
      <w:r w:rsidRPr="00F43354">
        <w:rPr>
          <w:b/>
          <w:bCs/>
          <w:color w:val="000000"/>
          <w:sz w:val="20"/>
          <w:szCs w:val="20"/>
          <w:lang w:val="en-US"/>
        </w:rPr>
        <w:t>Confirm the</w:t>
      </w:r>
      <w:r w:rsidR="009E19E6">
        <w:rPr>
          <w:b/>
          <w:bCs/>
          <w:color w:val="000000"/>
          <w:sz w:val="20"/>
          <w:szCs w:val="20"/>
          <w:lang w:val="en-US"/>
        </w:rPr>
        <w:t xml:space="preserve"> main bullet of the</w:t>
      </w:r>
      <w:r w:rsidRPr="00F43354">
        <w:rPr>
          <w:b/>
          <w:bCs/>
          <w:color w:val="000000"/>
          <w:sz w:val="20"/>
          <w:szCs w:val="20"/>
          <w:lang w:val="en-US"/>
        </w:rPr>
        <w:t xml:space="preserve"> working assumption</w:t>
      </w:r>
      <w:r w:rsidR="009E19E6">
        <w:rPr>
          <w:b/>
          <w:bCs/>
          <w:color w:val="000000"/>
          <w:sz w:val="20"/>
          <w:szCs w:val="20"/>
          <w:lang w:val="en-US"/>
        </w:rPr>
        <w:t xml:space="preserve">, i.e., </w:t>
      </w:r>
      <w:r w:rsidR="009E19E6" w:rsidRPr="009E19E6">
        <w:rPr>
          <w:b/>
          <w:bCs/>
          <w:color w:val="000000"/>
          <w:sz w:val="20"/>
          <w:szCs w:val="20"/>
        </w:rPr>
        <w:t>The action of group common TPC commands with format 2_2 does not constitute an event that violates power consistency and phase continuity</w:t>
      </w:r>
      <w:r w:rsidR="009E19E6">
        <w:rPr>
          <w:b/>
          <w:bCs/>
          <w:color w:val="000000"/>
          <w:sz w:val="20"/>
          <w:szCs w:val="20"/>
          <w:lang w:val="en-US"/>
        </w:rPr>
        <w:t>.</w:t>
      </w:r>
    </w:p>
    <w:p w14:paraId="0377C355" w14:textId="476FCCA1" w:rsidR="008237BB" w:rsidRPr="008237BB" w:rsidRDefault="005973F3" w:rsidP="00F43354">
      <w:pPr>
        <w:spacing w:before="120" w:after="120"/>
      </w:pPr>
      <w:r w:rsidRPr="005973F3">
        <w:rPr>
          <w:color w:val="000000"/>
          <w:sz w:val="20"/>
          <w:szCs w:val="20"/>
          <w:lang w:val="en-US"/>
        </w:rPr>
        <w:t>Several options were discussed assuming the working assumption is confirmed.</w:t>
      </w:r>
      <w:r>
        <w:rPr>
          <w:color w:val="000000"/>
          <w:sz w:val="20"/>
          <w:szCs w:val="20"/>
          <w:lang w:val="en-US"/>
        </w:rPr>
        <w:t xml:space="preserve"> As discussed above, the timeline issue can’t be avoided,</w:t>
      </w:r>
      <w:r w:rsidR="002A5C4D">
        <w:rPr>
          <w:color w:val="000000"/>
          <w:sz w:val="20"/>
          <w:szCs w:val="20"/>
          <w:lang w:val="en-US"/>
        </w:rPr>
        <w:t xml:space="preserve"> </w:t>
      </w:r>
      <w:r w:rsidR="00F6274D">
        <w:rPr>
          <w:color w:val="000000"/>
          <w:sz w:val="20"/>
          <w:szCs w:val="20"/>
          <w:lang w:val="en-US"/>
        </w:rPr>
        <w:t>TPC command in the previous TDW can’t directly apply to the first transmission occasion in the current TDW, if the UE process timeline is not satisfied</w:t>
      </w:r>
      <w:r w:rsidR="00F6274D">
        <w:rPr>
          <w:sz w:val="20"/>
          <w:szCs w:val="20"/>
          <w:lang w:val="en-US"/>
        </w:rPr>
        <w:t xml:space="preserve">. For CG-PUSCH repetition, </w:t>
      </w:r>
      <m:oMath>
        <m:sSub>
          <m:sSubPr>
            <m:ctrlPr>
              <w:rPr>
                <w:rFonts w:ascii="Cambria Math" w:hAnsi="Cambria Math"/>
                <w:sz w:val="20"/>
                <w:szCs w:val="20"/>
              </w:rPr>
            </m:ctrlPr>
          </m:sSubPr>
          <m:e>
            <m:r>
              <w:rPr>
                <w:rFonts w:ascii="Cambria Math" w:hAnsi="Cambria Math"/>
                <w:sz w:val="20"/>
                <w:szCs w:val="20"/>
              </w:rPr>
              <m:t>K</m:t>
            </m:r>
          </m:e>
          <m:sub>
            <m:r>
              <m:rPr>
                <m:sty m:val="p"/>
              </m:rP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008237BB">
        <w:rPr>
          <w:sz w:val="20"/>
          <w:szCs w:val="20"/>
          <w:lang w:val="en-US"/>
        </w:rPr>
        <w:t xml:space="preserve"> is determined according to the </w:t>
      </w:r>
      <w:r w:rsidR="008237BB" w:rsidRPr="008237BB">
        <w:rPr>
          <w:rFonts w:ascii="TimesNewRomanPSMT" w:hAnsi="TimesNewRomanPSMT" w:cs="TimesNewRomanPSMT"/>
          <w:color w:val="000008"/>
          <w:sz w:val="20"/>
          <w:szCs w:val="20"/>
        </w:rPr>
        <w:t xml:space="preserve">minimum value provided by </w:t>
      </w:r>
      <w:r w:rsidR="008237BB" w:rsidRPr="008237BB">
        <w:rPr>
          <w:rFonts w:ascii="TimesNewRomanPS-ItalicMT" w:hAnsi="TimesNewRomanPS-ItalicMT"/>
          <w:i/>
          <w:iCs/>
          <w:color w:val="000008"/>
          <w:sz w:val="20"/>
          <w:szCs w:val="20"/>
        </w:rPr>
        <w:t xml:space="preserve">k2 </w:t>
      </w:r>
      <w:r w:rsidR="008237BB" w:rsidRPr="008237BB">
        <w:rPr>
          <w:rFonts w:ascii="TimesNewRomanPSMT" w:hAnsi="TimesNewRomanPSMT" w:cs="TimesNewRomanPSMT"/>
          <w:color w:val="000008"/>
          <w:sz w:val="20"/>
          <w:szCs w:val="20"/>
        </w:rPr>
        <w:t xml:space="preserve">in </w:t>
      </w:r>
      <w:r w:rsidR="008237BB" w:rsidRPr="008237BB">
        <w:rPr>
          <w:rFonts w:ascii="TimesNewRomanPS-ItalicMT" w:hAnsi="TimesNewRomanPS-ItalicMT"/>
          <w:i/>
          <w:iCs/>
          <w:color w:val="000008"/>
          <w:sz w:val="20"/>
          <w:szCs w:val="20"/>
        </w:rPr>
        <w:t>PUSCH-ConfigCommon</w:t>
      </w:r>
      <w:r w:rsidR="008237BB">
        <w:rPr>
          <w:lang w:val="en-US"/>
        </w:rPr>
        <w:t xml:space="preserve">. </w:t>
      </w:r>
      <w:r w:rsidR="008237BB">
        <w:rPr>
          <w:sz w:val="20"/>
          <w:szCs w:val="20"/>
          <w:lang w:val="en-US"/>
        </w:rPr>
        <w:t xml:space="preserve">For DG-PUSCH, different companies have different understanding on Rel-15 </w:t>
      </w:r>
      <m:oMath>
        <m:sSub>
          <m:sSubPr>
            <m:ctrlPr>
              <w:rPr>
                <w:rFonts w:ascii="Cambria Math" w:hAnsi="Cambria Math"/>
                <w:sz w:val="20"/>
                <w:szCs w:val="20"/>
              </w:rPr>
            </m:ctrlPr>
          </m:sSubPr>
          <m:e>
            <m:r>
              <w:rPr>
                <w:rFonts w:ascii="Cambria Math" w:hAnsi="Cambria Math"/>
                <w:sz w:val="20"/>
                <w:szCs w:val="20"/>
              </w:rPr>
              <m:t>K</m:t>
            </m:r>
          </m:e>
          <m:sub>
            <m:r>
              <m:rPr>
                <m:sty m:val="p"/>
              </m:rP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008237BB">
        <w:rPr>
          <w:sz w:val="20"/>
          <w:szCs w:val="20"/>
          <w:lang w:val="en-US"/>
        </w:rPr>
        <w:t xml:space="preserve">. Regardless the interpretation on the Rel-15 specification, for Rel-17 coverage enhancement, </w:t>
      </w:r>
      <m:oMath>
        <m:sSub>
          <m:sSubPr>
            <m:ctrlPr>
              <w:rPr>
                <w:rFonts w:ascii="Cambria Math" w:hAnsi="Cambria Math"/>
                <w:sz w:val="20"/>
                <w:szCs w:val="20"/>
              </w:rPr>
            </m:ctrlPr>
          </m:sSubPr>
          <m:e>
            <m:r>
              <w:rPr>
                <w:rFonts w:ascii="Cambria Math" w:hAnsi="Cambria Math"/>
                <w:sz w:val="20"/>
                <w:szCs w:val="20"/>
              </w:rPr>
              <m:t>K</m:t>
            </m:r>
          </m:e>
          <m:sub>
            <m:r>
              <m:rPr>
                <m:sty m:val="p"/>
              </m:rP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00F060C7">
        <w:rPr>
          <w:sz w:val="20"/>
          <w:szCs w:val="20"/>
          <w:lang w:val="en-US"/>
        </w:rPr>
        <w:t xml:space="preserve"> for CG-PUSCH can be applied to </w:t>
      </w:r>
      <w:r w:rsidR="00507CC4">
        <w:rPr>
          <w:sz w:val="20"/>
          <w:szCs w:val="20"/>
          <w:lang w:val="en-US"/>
        </w:rPr>
        <w:t>D</w:t>
      </w:r>
      <w:r w:rsidR="00F060C7">
        <w:rPr>
          <w:sz w:val="20"/>
          <w:szCs w:val="20"/>
          <w:lang w:val="en-US"/>
        </w:rPr>
        <w:t>G-PUSCH in case of DMRS bundling is enabled.</w:t>
      </w:r>
    </w:p>
    <w:tbl>
      <w:tblPr>
        <w:tblStyle w:val="TableGrid"/>
        <w:tblW w:w="0" w:type="auto"/>
        <w:tblLook w:val="04A0" w:firstRow="1" w:lastRow="0" w:firstColumn="1" w:lastColumn="0" w:noHBand="0" w:noVBand="1"/>
      </w:tblPr>
      <w:tblGrid>
        <w:gridCol w:w="9629"/>
      </w:tblGrid>
      <w:tr w:rsidR="005973F3" w14:paraId="2F8D17E7" w14:textId="77777777" w:rsidTr="005973F3">
        <w:tc>
          <w:tcPr>
            <w:tcW w:w="9629" w:type="dxa"/>
          </w:tcPr>
          <w:p w14:paraId="4C490EAC" w14:textId="77777777" w:rsidR="005973F3" w:rsidRPr="005973F3" w:rsidRDefault="005973F3" w:rsidP="005973F3">
            <w:pPr>
              <w:rPr>
                <w:sz w:val="20"/>
                <w:szCs w:val="20"/>
              </w:rPr>
            </w:pPr>
            <w:r w:rsidRPr="005973F3">
              <w:rPr>
                <w:sz w:val="20"/>
                <w:szCs w:val="20"/>
              </w:rPr>
              <w:t>For CG-PUSCH, the following solutions are proposed by companies:</w:t>
            </w:r>
          </w:p>
          <w:p w14:paraId="29C4B547" w14:textId="77777777" w:rsidR="005973F3" w:rsidRPr="005973F3" w:rsidRDefault="005973F3" w:rsidP="005973F3">
            <w:pPr>
              <w:pStyle w:val="ListParagraph"/>
              <w:numPr>
                <w:ilvl w:val="0"/>
                <w:numId w:val="39"/>
              </w:numPr>
              <w:spacing w:before="156" w:line="240" w:lineRule="auto"/>
              <w:ind w:left="422" w:hanging="422"/>
              <w:rPr>
                <w:sz w:val="20"/>
                <w:szCs w:val="20"/>
              </w:rPr>
            </w:pPr>
            <w:r w:rsidRPr="005973F3">
              <w:rPr>
                <w:b/>
                <w:sz w:val="20"/>
                <w:szCs w:val="20"/>
              </w:rPr>
              <w:lastRenderedPageBreak/>
              <w:t>Option 1:</w:t>
            </w:r>
            <w:r w:rsidRPr="005973F3">
              <w:rPr>
                <w:sz w:val="20"/>
                <w:szCs w:val="20"/>
              </w:rPr>
              <w:t xml:space="preserve"> Modify the definition of </w:t>
            </w:r>
            <m:oMath>
              <m:sSub>
                <m:sSubPr>
                  <m:ctrlPr>
                    <w:rPr>
                      <w:rFonts w:ascii="Cambria Math" w:hAnsi="Cambria Math"/>
                      <w:sz w:val="20"/>
                      <w:szCs w:val="20"/>
                    </w:rPr>
                  </m:ctrlPr>
                </m:sSubPr>
                <m:e>
                  <m:r>
                    <w:rPr>
                      <w:rFonts w:ascii="Cambria Math" w:hAnsi="Cambria Math"/>
                      <w:sz w:val="20"/>
                      <w:szCs w:val="20"/>
                    </w:rPr>
                    <m:t>K</m:t>
                  </m:r>
                </m:e>
                <m:sub>
                  <m:r>
                    <m:rPr>
                      <m:sty m:val="p"/>
                    </m:rP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5973F3">
              <w:rPr>
                <w:sz w:val="20"/>
                <w:szCs w:val="20"/>
              </w:rPr>
              <w:t xml:space="preserve">, e.g. </w:t>
            </w:r>
            <m:oMath>
              <m:sSub>
                <m:sSubPr>
                  <m:ctrlPr>
                    <w:rPr>
                      <w:rFonts w:ascii="Cambria Math" w:hAnsi="Cambria Math"/>
                      <w:sz w:val="20"/>
                      <w:szCs w:val="20"/>
                    </w:rPr>
                  </m:ctrlPr>
                </m:sSubPr>
                <m:e>
                  <m:r>
                    <w:rPr>
                      <w:rFonts w:ascii="Cambria Math" w:hAnsi="Cambria Math"/>
                      <w:sz w:val="20"/>
                      <w:szCs w:val="20"/>
                    </w:rPr>
                    <m:t>K</m:t>
                  </m:r>
                </m:e>
                <m:sub>
                  <m:r>
                    <m:rPr>
                      <m:sty m:val="p"/>
                    </m:rP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5973F3">
              <w:rPr>
                <w:sz w:val="20"/>
                <w:szCs w:val="20"/>
              </w:rPr>
              <w:t xml:space="preserve"> is a number of symbols from the first symbol of the nominal time domain window including the transmission occasion </w:t>
            </w:r>
            <w:r w:rsidRPr="005973F3">
              <w:rPr>
                <w:i/>
                <w:sz w:val="20"/>
                <w:szCs w:val="20"/>
              </w:rPr>
              <w:t>i</w:t>
            </w:r>
            <w:r w:rsidRPr="005973F3">
              <w:rPr>
                <w:sz w:val="20"/>
                <w:szCs w:val="20"/>
              </w:rPr>
              <w:t xml:space="preserve"> and before a first symbol of the transmission occasion </w:t>
            </w:r>
            <w:r w:rsidRPr="005973F3">
              <w:rPr>
                <w:i/>
                <w:sz w:val="20"/>
                <w:szCs w:val="20"/>
              </w:rPr>
              <w:t>i</w:t>
            </w:r>
            <w:r w:rsidRPr="005973F3">
              <w:rPr>
                <w:sz w:val="20"/>
                <w:szCs w:val="20"/>
              </w:rPr>
              <w:t>.</w:t>
            </w:r>
          </w:p>
          <w:p w14:paraId="7A6B21A2" w14:textId="77777777" w:rsidR="005973F3" w:rsidRPr="005973F3" w:rsidRDefault="005973F3" w:rsidP="005973F3">
            <w:pPr>
              <w:pStyle w:val="ListParagraph"/>
              <w:numPr>
                <w:ilvl w:val="0"/>
                <w:numId w:val="39"/>
              </w:numPr>
              <w:spacing w:before="156" w:line="240" w:lineRule="auto"/>
              <w:ind w:left="422" w:hanging="422"/>
              <w:rPr>
                <w:sz w:val="20"/>
                <w:szCs w:val="20"/>
              </w:rPr>
            </w:pPr>
            <w:r w:rsidRPr="005973F3">
              <w:rPr>
                <w:b/>
                <w:sz w:val="20"/>
                <w:szCs w:val="20"/>
              </w:rPr>
              <w:t>Option 2:</w:t>
            </w:r>
            <w:r w:rsidRPr="005973F3">
              <w:rPr>
                <w:sz w:val="20"/>
                <w:szCs w:val="20"/>
              </w:rPr>
              <w:t xml:space="preserve"> Modify the TPC command value set </w:t>
            </w:r>
            <m:oMath>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i</m:t>
                  </m:r>
                </m:sub>
              </m:sSub>
            </m:oMath>
            <w:r w:rsidRPr="005973F3">
              <w:rPr>
                <w:sz w:val="20"/>
                <w:szCs w:val="20"/>
              </w:rPr>
              <w:t xml:space="preserve">, e.g. if transmission occasion </w:t>
            </w:r>
            <w:r w:rsidRPr="005973F3">
              <w:rPr>
                <w:i/>
                <w:sz w:val="20"/>
                <w:szCs w:val="20"/>
              </w:rPr>
              <w:t>i</w:t>
            </w:r>
            <w:r w:rsidRPr="005973F3">
              <w:rPr>
                <w:sz w:val="20"/>
                <w:szCs w:val="20"/>
              </w:rPr>
              <w:t xml:space="preserve"> is not the first transmission occasion within a nominal time domain window, then any TPC command values received via DCI format 2_2 contained in the set </w:t>
            </w:r>
            <m:oMath>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i</m:t>
                  </m:r>
                </m:sub>
              </m:sSub>
            </m:oMath>
            <w:r w:rsidRPr="005973F3">
              <w:rPr>
                <w:sz w:val="20"/>
                <w:szCs w:val="20"/>
              </w:rPr>
              <w:t xml:space="preserve"> are deleted and added to the set </w:t>
            </w:r>
            <m:oMath>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j</m:t>
                  </m:r>
                </m:sub>
              </m:sSub>
            </m:oMath>
            <w:r w:rsidRPr="005973F3">
              <w:rPr>
                <w:sz w:val="20"/>
                <w:szCs w:val="20"/>
              </w:rPr>
              <w:t xml:space="preserve"> where </w:t>
            </w:r>
            <w:r w:rsidRPr="005973F3">
              <w:rPr>
                <w:i/>
                <w:sz w:val="20"/>
                <w:szCs w:val="20"/>
              </w:rPr>
              <w:t>j</w:t>
            </w:r>
            <w:r w:rsidRPr="005973F3">
              <w:rPr>
                <w:sz w:val="20"/>
                <w:szCs w:val="20"/>
              </w:rPr>
              <w:t xml:space="preserve"> is a transmission occasion occurring after the end of the nominal time domain window.</w:t>
            </w:r>
          </w:p>
          <w:p w14:paraId="2C93721A" w14:textId="7CB6C632" w:rsidR="005973F3" w:rsidRPr="005973F3" w:rsidRDefault="005973F3" w:rsidP="005973F3">
            <w:pPr>
              <w:pStyle w:val="ListParagraph"/>
              <w:numPr>
                <w:ilvl w:val="0"/>
                <w:numId w:val="39"/>
              </w:numPr>
              <w:spacing w:before="156" w:line="240" w:lineRule="auto"/>
              <w:ind w:left="422" w:hanging="422"/>
              <w:rPr>
                <w:sz w:val="21"/>
                <w:szCs w:val="21"/>
                <w:lang w:eastAsia="zh-CN"/>
              </w:rPr>
            </w:pPr>
            <w:r w:rsidRPr="005973F3">
              <w:rPr>
                <w:b/>
                <w:sz w:val="20"/>
                <w:szCs w:val="20"/>
              </w:rPr>
              <w:t>Option 3:</w:t>
            </w:r>
            <w:r w:rsidRPr="005973F3">
              <w:rPr>
                <w:sz w:val="20"/>
                <w:szCs w:val="20"/>
              </w:rPr>
              <w:t xml:space="preserve"> Modify the behavior for accumulating TPC command value, e.g. </w:t>
            </w:r>
            <w:r w:rsidRPr="005973F3">
              <w:rPr>
                <w:rFonts w:ascii="SimSun" w:hAnsi="SimSun" w:cs="SimSun" w:hint="eastAsia"/>
                <w:sz w:val="20"/>
                <w:szCs w:val="20"/>
              </w:rPr>
              <w:t>①</w:t>
            </w:r>
            <w:r w:rsidRPr="005973F3">
              <w:rPr>
                <w:sz w:val="20"/>
                <w:szCs w:val="20"/>
              </w:rPr>
              <w:t xml:space="preserve"> </w:t>
            </w:r>
            <w:r w:rsidRPr="005973F3">
              <w:rPr>
                <w:sz w:val="20"/>
                <w:szCs w:val="20"/>
                <w:lang w:val="en-GB"/>
              </w:rPr>
              <w:t xml:space="preserve">For a transmission occasion </w:t>
            </w:r>
            <m:oMath>
              <m:r>
                <w:rPr>
                  <w:rFonts w:ascii="Cambria Math" w:hAnsi="Cambria Math"/>
                  <w:sz w:val="20"/>
                  <w:szCs w:val="20"/>
                  <w:lang w:val="en-GB"/>
                </w:rPr>
                <m:t>i</m:t>
              </m:r>
            </m:oMath>
            <w:r w:rsidRPr="005973F3">
              <w:rPr>
                <w:sz w:val="20"/>
                <w:szCs w:val="20"/>
                <w:lang w:val="en-GB"/>
              </w:rPr>
              <w:t xml:space="preserve"> occurs within a nominal time domain window,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i</m:t>
                  </m:r>
                </m:sub>
              </m:sSub>
              <m:r>
                <m:rPr>
                  <m:sty m:val="p"/>
                </m:rPr>
                <w:rPr>
                  <w:rFonts w:ascii="Cambria Math" w:hAnsi="Cambria Math"/>
                  <w:sz w:val="20"/>
                  <w:szCs w:val="20"/>
                  <w:lang w:val="en-GB"/>
                </w:rPr>
                <m:t>=</m:t>
              </m:r>
              <m:sSub>
                <m:sSubPr>
                  <m:ctrlPr>
                    <w:rPr>
                      <w:rFonts w:ascii="Cambria Math" w:hAnsi="Cambria Math"/>
                      <w:sz w:val="20"/>
                      <w:szCs w:val="20"/>
                    </w:rPr>
                  </m:ctrlPr>
                </m:sSubPr>
                <m:e>
                  <m:r>
                    <w:rPr>
                      <w:rFonts w:ascii="Cambria Math" w:hAnsi="Cambria Math"/>
                      <w:sz w:val="20"/>
                      <w:szCs w:val="20"/>
                    </w:rPr>
                    <m:t>f</m:t>
                  </m:r>
                </m:e>
                <m:sub>
                  <m:r>
                    <m:rPr>
                      <m:sty m:val="p"/>
                    </m:rPr>
                    <w:rPr>
                      <w:rFonts w:ascii="Cambria Math" w:hAnsi="Cambria Math"/>
                      <w:sz w:val="20"/>
                      <w:szCs w:val="20"/>
                      <w:lang w:val="en-GB"/>
                    </w:rPr>
                    <m:t xml:space="preserve"> </m:t>
                  </m:r>
                  <m:sSub>
                    <m:sSubPr>
                      <m:ctrlPr>
                        <w:rPr>
                          <w:rFonts w:ascii="Cambria Math" w:hAnsi="Cambria Math"/>
                          <w:sz w:val="20"/>
                          <w:szCs w:val="20"/>
                          <w:lang w:val="en-GB"/>
                        </w:rPr>
                      </m:ctrlPr>
                    </m:sSubPr>
                    <m:e>
                      <m:r>
                        <w:rPr>
                          <w:rFonts w:ascii="Cambria Math" w:hAnsi="Cambria Math"/>
                          <w:sz w:val="20"/>
                          <w:szCs w:val="20"/>
                          <w:lang w:val="en-GB"/>
                        </w:rPr>
                        <m:t>i</m:t>
                      </m:r>
                    </m:e>
                    <m:sub>
                      <m:r>
                        <m:rPr>
                          <m:sty m:val="p"/>
                        </m:rPr>
                        <w:rPr>
                          <w:rFonts w:ascii="Cambria Math" w:hAnsi="Cambria Math"/>
                          <w:sz w:val="20"/>
                          <w:szCs w:val="20"/>
                          <w:lang w:val="en-GB"/>
                        </w:rPr>
                        <m:t>1</m:t>
                      </m:r>
                    </m:sub>
                  </m:sSub>
                </m:sub>
              </m:sSub>
            </m:oMath>
            <w:r w:rsidRPr="005973F3">
              <w:rPr>
                <w:sz w:val="20"/>
                <w:szCs w:val="20"/>
                <w:lang w:val="en-GB"/>
              </w:rPr>
              <w:t xml:space="preserve">, where transmission occasion </w:t>
            </w:r>
            <m:oMath>
              <m:sSub>
                <m:sSubPr>
                  <m:ctrlPr>
                    <w:rPr>
                      <w:rFonts w:ascii="Cambria Math" w:hAnsi="Cambria Math"/>
                      <w:sz w:val="20"/>
                      <w:szCs w:val="20"/>
                      <w:lang w:val="en-GB"/>
                    </w:rPr>
                  </m:ctrlPr>
                </m:sSubPr>
                <m:e>
                  <m:r>
                    <w:rPr>
                      <w:rFonts w:ascii="Cambria Math" w:hAnsi="Cambria Math"/>
                      <w:sz w:val="20"/>
                      <w:szCs w:val="20"/>
                      <w:lang w:val="en-GB"/>
                    </w:rPr>
                    <m:t>i</m:t>
                  </m:r>
                </m:e>
                <m:sub>
                  <m:r>
                    <m:rPr>
                      <m:sty m:val="p"/>
                    </m:rPr>
                    <w:rPr>
                      <w:rFonts w:ascii="Cambria Math" w:hAnsi="Cambria Math"/>
                      <w:sz w:val="20"/>
                      <w:szCs w:val="20"/>
                      <w:lang w:val="en-GB"/>
                    </w:rPr>
                    <m:t>1</m:t>
                  </m:r>
                </m:sub>
              </m:sSub>
            </m:oMath>
            <w:r w:rsidRPr="005973F3">
              <w:rPr>
                <w:sz w:val="20"/>
                <w:szCs w:val="20"/>
                <w:lang w:val="en-GB"/>
              </w:rPr>
              <w:t xml:space="preserve"> is a first transmission occasion within the nominal time domain window; </w:t>
            </w:r>
            <w:r w:rsidRPr="005973F3">
              <w:rPr>
                <w:rFonts w:ascii="SimSun" w:hAnsi="SimSun" w:cs="SimSun" w:hint="eastAsia"/>
                <w:sz w:val="20"/>
                <w:szCs w:val="20"/>
                <w:lang w:val="en-GB"/>
              </w:rPr>
              <w:t>②</w:t>
            </w:r>
            <w:r w:rsidRPr="005973F3">
              <w:rPr>
                <w:sz w:val="20"/>
                <w:szCs w:val="20"/>
                <w:lang w:val="en-GB"/>
              </w:rPr>
              <w:t xml:space="preserve"> for the first transmission occasion </w:t>
            </w:r>
            <m:oMath>
              <m:r>
                <w:rPr>
                  <w:rFonts w:ascii="Cambria Math" w:hAnsi="Cambria Math"/>
                  <w:sz w:val="20"/>
                  <w:szCs w:val="20"/>
                  <w:lang w:val="en-GB"/>
                </w:rPr>
                <m:t>i</m:t>
              </m:r>
            </m:oMath>
            <w:r w:rsidRPr="005973F3">
              <w:rPr>
                <w:sz w:val="20"/>
                <w:szCs w:val="20"/>
                <w:lang w:val="en-GB"/>
              </w:rPr>
              <w:t xml:space="preserve"> occurs after the nominal time domain window,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i</m:t>
                  </m:r>
                </m:sub>
              </m:sSub>
              <m:r>
                <m:rPr>
                  <m:sty m:val="p"/>
                </m:rPr>
                <w:rPr>
                  <w:rFonts w:ascii="Cambria Math" w:hAnsi="Cambria Math"/>
                  <w:sz w:val="20"/>
                  <w:szCs w:val="20"/>
                  <w:lang w:val="en-GB"/>
                </w:rPr>
                <m:t>=</m:t>
              </m:r>
              <m:sSub>
                <m:sSubPr>
                  <m:ctrlPr>
                    <w:rPr>
                      <w:rFonts w:ascii="Cambria Math" w:hAnsi="Cambria Math"/>
                      <w:sz w:val="20"/>
                      <w:szCs w:val="20"/>
                    </w:rPr>
                  </m:ctrlPr>
                </m:sSubPr>
                <m:e>
                  <m:r>
                    <w:rPr>
                      <w:rFonts w:ascii="Cambria Math" w:hAnsi="Cambria Math"/>
                      <w:sz w:val="20"/>
                      <w:szCs w:val="20"/>
                    </w:rPr>
                    <m:t>f</m:t>
                  </m:r>
                </m:e>
                <m:sub>
                  <m:sSub>
                    <m:sSubPr>
                      <m:ctrlPr>
                        <w:rPr>
                          <w:rFonts w:ascii="Cambria Math" w:hAnsi="Cambria Math"/>
                          <w:sz w:val="20"/>
                          <w:szCs w:val="20"/>
                          <w:lang w:val="en-GB"/>
                        </w:rPr>
                      </m:ctrlPr>
                    </m:sSubPr>
                    <m:e>
                      <m:r>
                        <w:rPr>
                          <w:rFonts w:ascii="Cambria Math" w:hAnsi="Cambria Math"/>
                          <w:sz w:val="20"/>
                          <w:szCs w:val="20"/>
                          <w:lang w:val="en-GB"/>
                        </w:rPr>
                        <m:t>i</m:t>
                      </m:r>
                    </m:e>
                    <m:sub>
                      <m:r>
                        <m:rPr>
                          <m:sty m:val="p"/>
                        </m:rPr>
                        <w:rPr>
                          <w:rFonts w:ascii="Cambria Math" w:hAnsi="Cambria Math"/>
                          <w:sz w:val="20"/>
                          <w:szCs w:val="20"/>
                          <w:lang w:val="en-GB"/>
                        </w:rPr>
                        <m:t>1</m:t>
                      </m:r>
                    </m:sub>
                  </m:sSub>
                </m:sub>
              </m:sSub>
              <m:r>
                <m:rPr>
                  <m:sty m:val="p"/>
                </m:rPr>
                <w:rPr>
                  <w:rFonts w:ascii="Cambria Math" w:hAnsi="Cambria Math"/>
                  <w:sz w:val="20"/>
                  <w:szCs w:val="20"/>
                  <w:lang w:val="en-GB"/>
                </w:rPr>
                <m:t>+</m:t>
              </m:r>
              <m:nary>
                <m:naryPr>
                  <m:chr m:val="∑"/>
                  <m:limLoc m:val="undOvr"/>
                  <m:subHide m:val="1"/>
                  <m:supHide m:val="1"/>
                  <m:ctrlPr>
                    <w:rPr>
                      <w:rFonts w:ascii="Cambria Math" w:hAnsi="Cambria Math"/>
                      <w:sz w:val="20"/>
                      <w:szCs w:val="20"/>
                      <w:lang w:val="en-GB"/>
                    </w:rPr>
                  </m:ctrlPr>
                </m:naryPr>
                <m:sub/>
                <m:sup/>
                <m:e>
                  <m:sSub>
                    <m:sSubPr>
                      <m:ctrlPr>
                        <w:rPr>
                          <w:rFonts w:ascii="Cambria Math" w:hAnsi="Cambria Math"/>
                          <w:sz w:val="20"/>
                          <w:szCs w:val="20"/>
                        </w:rPr>
                      </m:ctrlPr>
                    </m:sSubPr>
                    <m:e>
                      <m:r>
                        <w:rPr>
                          <w:rFonts w:ascii="Cambria Math" w:hAnsi="Cambria Math"/>
                          <w:sz w:val="20"/>
                          <w:szCs w:val="20"/>
                        </w:rPr>
                        <m:t>δ</m:t>
                      </m:r>
                    </m:e>
                    <m:sub>
                      <m:r>
                        <w:rPr>
                          <w:rFonts w:ascii="Cambria Math" w:hAnsi="Cambria Math"/>
                          <w:sz w:val="20"/>
                          <w:szCs w:val="20"/>
                        </w:rPr>
                        <m:t>i</m:t>
                      </m:r>
                    </m:sub>
                  </m:sSub>
                </m:e>
              </m:nary>
            </m:oMath>
            <w:r w:rsidRPr="005973F3">
              <w:rPr>
                <w:sz w:val="20"/>
                <w:szCs w:val="20"/>
                <w:lang w:val="en-GB"/>
              </w:rPr>
              <w:t xml:space="preserve">, where </w:t>
            </w:r>
            <m:oMath>
              <m:sSub>
                <m:sSubPr>
                  <m:ctrlPr>
                    <w:rPr>
                      <w:rFonts w:ascii="Cambria Math" w:hAnsi="Cambria Math"/>
                      <w:sz w:val="20"/>
                      <w:szCs w:val="20"/>
                    </w:rPr>
                  </m:ctrlPr>
                </m:sSubPr>
                <m:e>
                  <m:r>
                    <w:rPr>
                      <w:rFonts w:ascii="Cambria Math" w:hAnsi="Cambria Math"/>
                      <w:sz w:val="20"/>
                      <w:szCs w:val="20"/>
                    </w:rPr>
                    <m:t>δ</m:t>
                  </m:r>
                </m:e>
                <m:sub>
                  <m:r>
                    <w:rPr>
                      <w:rFonts w:ascii="Cambria Math" w:hAnsi="Cambria Math"/>
                      <w:sz w:val="20"/>
                      <w:szCs w:val="20"/>
                    </w:rPr>
                    <m:t>i</m:t>
                  </m:r>
                </m:sub>
              </m:sSub>
            </m:oMath>
            <w:r w:rsidRPr="005973F3">
              <w:rPr>
                <w:sz w:val="20"/>
                <w:szCs w:val="20"/>
                <w:lang w:val="en-GB"/>
              </w:rPr>
              <w:t xml:space="preserve"> is the TPC command values that would take effect </w:t>
            </w:r>
            <w:r w:rsidRPr="005973F3">
              <w:rPr>
                <w:rFonts w:hint="eastAsia"/>
                <w:sz w:val="20"/>
                <w:szCs w:val="20"/>
                <w:lang w:val="en-GB"/>
              </w:rPr>
              <w:t xml:space="preserve">between the first symbol of </w:t>
            </w:r>
            <w:r w:rsidRPr="005973F3">
              <w:rPr>
                <w:sz w:val="20"/>
                <w:szCs w:val="20"/>
                <w:lang w:val="en-GB"/>
              </w:rPr>
              <w:t>the previous nominal time domain window and</w:t>
            </w:r>
            <w:r w:rsidRPr="005973F3">
              <w:rPr>
                <w:rFonts w:hint="eastAsia"/>
                <w:sz w:val="20"/>
                <w:szCs w:val="20"/>
                <w:lang w:val="en-GB"/>
              </w:rPr>
              <w:t xml:space="preserve"> </w:t>
            </w:r>
            <w:r w:rsidRPr="005973F3">
              <w:rPr>
                <w:sz w:val="20"/>
                <w:szCs w:val="20"/>
                <w:lang w:val="en-GB"/>
              </w:rPr>
              <w:t>the first symbol of current nominal time domain window.</w:t>
            </w:r>
          </w:p>
        </w:tc>
      </w:tr>
    </w:tbl>
    <w:p w14:paraId="037E43DB" w14:textId="1A98F79D" w:rsidR="005973F3" w:rsidRDefault="00F060C7" w:rsidP="00AB1292">
      <w:pPr>
        <w:spacing w:before="120" w:after="120"/>
        <w:rPr>
          <w:b/>
          <w:bCs/>
          <w:color w:val="000000"/>
          <w:sz w:val="20"/>
          <w:szCs w:val="20"/>
          <w:lang w:val="en-US"/>
        </w:rPr>
      </w:pPr>
      <w:r w:rsidRPr="00974C1A">
        <w:rPr>
          <w:b/>
          <w:bCs/>
          <w:color w:val="000000"/>
          <w:sz w:val="20"/>
          <w:szCs w:val="20"/>
          <w:lang w:val="en-US"/>
        </w:rPr>
        <w:lastRenderedPageBreak/>
        <w:t xml:space="preserve">Proposal </w:t>
      </w:r>
      <w:r>
        <w:rPr>
          <w:b/>
          <w:bCs/>
          <w:color w:val="000000"/>
          <w:sz w:val="20"/>
          <w:szCs w:val="20"/>
          <w:lang w:val="en-US"/>
        </w:rPr>
        <w:t>2</w:t>
      </w:r>
      <w:r w:rsidRPr="00974C1A">
        <w:rPr>
          <w:b/>
          <w:bCs/>
          <w:color w:val="000000"/>
          <w:sz w:val="20"/>
          <w:szCs w:val="20"/>
          <w:lang w:val="en-US"/>
        </w:rPr>
        <w:t>:</w:t>
      </w:r>
      <w:r w:rsidR="00FA1A78">
        <w:rPr>
          <w:b/>
          <w:bCs/>
          <w:color w:val="000000"/>
          <w:sz w:val="20"/>
          <w:szCs w:val="20"/>
          <w:lang w:val="en-US"/>
        </w:rPr>
        <w:t xml:space="preserve"> The timeline should be satisfied whenever the TPC command is to be applied to the current TDW</w:t>
      </w:r>
      <w:r w:rsidR="00507CC4">
        <w:rPr>
          <w:b/>
          <w:bCs/>
          <w:color w:val="000000"/>
          <w:sz w:val="20"/>
          <w:szCs w:val="20"/>
          <w:lang w:val="en-US"/>
        </w:rPr>
        <w:t>.</w:t>
      </w:r>
    </w:p>
    <w:p w14:paraId="1BD4BE20" w14:textId="182259CD" w:rsidR="00507CC4" w:rsidRPr="00507CC4" w:rsidRDefault="00507CC4" w:rsidP="00507CC4">
      <w:pPr>
        <w:spacing w:before="120" w:after="120"/>
        <w:rPr>
          <w:b/>
          <w:bCs/>
          <w:color w:val="000000"/>
          <w:sz w:val="20"/>
          <w:szCs w:val="20"/>
        </w:rPr>
      </w:pPr>
      <w:r>
        <w:rPr>
          <w:b/>
          <w:bCs/>
          <w:color w:val="000000"/>
          <w:sz w:val="20"/>
          <w:szCs w:val="20"/>
          <w:lang w:val="en-US"/>
        </w:rPr>
        <w:t xml:space="preserve">Proposal 3: </w:t>
      </w:r>
      <m:oMath>
        <m:sSub>
          <m:sSubPr>
            <m:ctrlPr>
              <w:rPr>
                <w:rFonts w:ascii="Cambria Math" w:hAnsi="Cambria Math"/>
                <w:b/>
                <w:bCs/>
                <w:color w:val="000000"/>
                <w:sz w:val="20"/>
                <w:szCs w:val="20"/>
              </w:rPr>
            </m:ctrlPr>
          </m:sSubPr>
          <m:e>
            <m:r>
              <m:rPr>
                <m:sty m:val="bi"/>
              </m:rPr>
              <w:rPr>
                <w:rFonts w:ascii="Cambria Math" w:hAnsi="Cambria Math"/>
                <w:color w:val="000000"/>
                <w:sz w:val="20"/>
                <w:szCs w:val="20"/>
              </w:rPr>
              <m:t>K</m:t>
            </m:r>
          </m:e>
          <m:sub>
            <m:r>
              <m:rPr>
                <m:sty m:val="b"/>
              </m:rPr>
              <w:rPr>
                <w:rFonts w:ascii="Cambria Math" w:hAnsi="Cambria Math"/>
                <w:color w:val="000000"/>
                <w:sz w:val="20"/>
                <w:szCs w:val="20"/>
              </w:rPr>
              <m:t>PUSCH</m:t>
            </m:r>
          </m:sub>
        </m:sSub>
        <m:d>
          <m:dPr>
            <m:ctrlPr>
              <w:rPr>
                <w:rFonts w:ascii="Cambria Math" w:hAnsi="Cambria Math"/>
                <w:b/>
                <w:bCs/>
                <w:i/>
                <w:color w:val="000000"/>
                <w:sz w:val="20"/>
                <w:szCs w:val="20"/>
              </w:rPr>
            </m:ctrlPr>
          </m:dPr>
          <m:e>
            <m:r>
              <m:rPr>
                <m:sty m:val="bi"/>
              </m:rPr>
              <w:rPr>
                <w:rFonts w:ascii="Cambria Math" w:hAnsi="Cambria Math"/>
                <w:color w:val="000000"/>
                <w:sz w:val="20"/>
                <w:szCs w:val="20"/>
              </w:rPr>
              <m:t>i</m:t>
            </m:r>
          </m:e>
        </m:d>
      </m:oMath>
      <w:r w:rsidRPr="00507CC4">
        <w:rPr>
          <w:b/>
          <w:bCs/>
          <w:color w:val="000000"/>
          <w:sz w:val="20"/>
          <w:szCs w:val="20"/>
          <w:lang w:val="en-US"/>
        </w:rPr>
        <w:t xml:space="preserve"> </w:t>
      </w:r>
      <w:r>
        <w:rPr>
          <w:b/>
          <w:bCs/>
          <w:color w:val="000000"/>
          <w:sz w:val="20"/>
          <w:szCs w:val="20"/>
          <w:lang w:val="en-US"/>
        </w:rPr>
        <w:t xml:space="preserve">defined </w:t>
      </w:r>
      <w:r w:rsidRPr="00507CC4">
        <w:rPr>
          <w:b/>
          <w:bCs/>
          <w:color w:val="000000"/>
          <w:sz w:val="20"/>
          <w:szCs w:val="20"/>
          <w:lang w:val="en-US"/>
        </w:rPr>
        <w:t xml:space="preserve">for CG-PUSCH </w:t>
      </w:r>
      <w:r>
        <w:rPr>
          <w:b/>
          <w:bCs/>
          <w:color w:val="000000"/>
          <w:sz w:val="20"/>
          <w:szCs w:val="20"/>
          <w:lang w:val="en-US"/>
        </w:rPr>
        <w:t>is</w:t>
      </w:r>
      <w:r w:rsidRPr="00507CC4">
        <w:rPr>
          <w:b/>
          <w:bCs/>
          <w:color w:val="000000"/>
          <w:sz w:val="20"/>
          <w:szCs w:val="20"/>
          <w:lang w:val="en-US"/>
        </w:rPr>
        <w:t xml:space="preserve"> applied to </w:t>
      </w:r>
      <w:r>
        <w:rPr>
          <w:b/>
          <w:bCs/>
          <w:color w:val="000000"/>
          <w:sz w:val="20"/>
          <w:szCs w:val="20"/>
          <w:lang w:val="en-US"/>
        </w:rPr>
        <w:t xml:space="preserve">both </w:t>
      </w:r>
      <w:r w:rsidRPr="00507CC4">
        <w:rPr>
          <w:b/>
          <w:bCs/>
          <w:color w:val="000000"/>
          <w:sz w:val="20"/>
          <w:szCs w:val="20"/>
          <w:lang w:val="en-US"/>
        </w:rPr>
        <w:t xml:space="preserve">CG-PUSCH </w:t>
      </w:r>
      <w:r>
        <w:rPr>
          <w:b/>
          <w:bCs/>
          <w:color w:val="000000"/>
          <w:sz w:val="20"/>
          <w:szCs w:val="20"/>
          <w:lang w:val="en-US"/>
        </w:rPr>
        <w:t xml:space="preserve">and DG-PUSCH </w:t>
      </w:r>
      <w:r w:rsidRPr="00507CC4">
        <w:rPr>
          <w:b/>
          <w:bCs/>
          <w:color w:val="000000"/>
          <w:sz w:val="20"/>
          <w:szCs w:val="20"/>
          <w:lang w:val="en-US"/>
        </w:rPr>
        <w:t>in case of DMRS bundling is enabled.</w:t>
      </w:r>
    </w:p>
    <w:p w14:paraId="1DE6452F" w14:textId="77777777" w:rsidR="00D12367" w:rsidRPr="00974C1A" w:rsidRDefault="00D12367" w:rsidP="00D12367">
      <w:pPr>
        <w:pStyle w:val="Heading1"/>
        <w:rPr>
          <w:sz w:val="20"/>
        </w:rPr>
      </w:pPr>
      <w:r w:rsidRPr="00974C1A">
        <w:rPr>
          <w:sz w:val="20"/>
        </w:rPr>
        <w:t>Summary</w:t>
      </w:r>
    </w:p>
    <w:p w14:paraId="25F8D0AD" w14:textId="29F41F55" w:rsidR="00D12367" w:rsidRPr="00974C1A" w:rsidRDefault="00D12367" w:rsidP="00D12367">
      <w:pPr>
        <w:overflowPunct w:val="0"/>
        <w:autoSpaceDE w:val="0"/>
        <w:autoSpaceDN w:val="0"/>
        <w:adjustRightInd w:val="0"/>
        <w:jc w:val="both"/>
        <w:textAlignment w:val="baseline"/>
        <w:rPr>
          <w:rFonts w:eastAsia="MS Mincho"/>
          <w:sz w:val="20"/>
          <w:szCs w:val="20"/>
          <w:lang w:val="en-US" w:eastAsia="ja-JP"/>
        </w:rPr>
      </w:pPr>
      <w:r w:rsidRPr="00974C1A">
        <w:rPr>
          <w:rFonts w:eastAsia="MS Mincho"/>
          <w:sz w:val="20"/>
          <w:szCs w:val="20"/>
          <w:lang w:eastAsia="ja-JP"/>
        </w:rPr>
        <w:t>In this contribution, we discuss the</w:t>
      </w:r>
      <w:r w:rsidR="002B13F3">
        <w:rPr>
          <w:rFonts w:eastAsia="MS Mincho"/>
          <w:sz w:val="20"/>
          <w:szCs w:val="20"/>
          <w:lang w:val="en-US" w:eastAsia="ja-JP"/>
        </w:rPr>
        <w:t xml:space="preserve"> remaining issue of</w:t>
      </w:r>
      <w:r w:rsidR="007A6A99" w:rsidRPr="00974C1A">
        <w:rPr>
          <w:rFonts w:eastAsia="MS Mincho"/>
          <w:sz w:val="20"/>
          <w:szCs w:val="20"/>
          <w:lang w:val="en-US" w:eastAsia="ja-JP"/>
        </w:rPr>
        <w:t xml:space="preserve"> joint channel estimation for PUSCH</w:t>
      </w:r>
      <w:r w:rsidR="001D0C16" w:rsidRPr="00974C1A">
        <w:rPr>
          <w:rFonts w:eastAsia="MS Mincho"/>
          <w:sz w:val="20"/>
          <w:szCs w:val="20"/>
          <w:lang w:val="en-US" w:eastAsia="ja-JP"/>
        </w:rPr>
        <w:t xml:space="preserve"> and </w:t>
      </w:r>
      <w:r w:rsidRPr="00974C1A">
        <w:rPr>
          <w:rFonts w:eastAsia="MS Mincho"/>
          <w:sz w:val="20"/>
          <w:szCs w:val="20"/>
          <w:lang w:eastAsia="ja-JP"/>
        </w:rPr>
        <w:t>have the following proposals:</w:t>
      </w:r>
    </w:p>
    <w:p w14:paraId="544A7D23" w14:textId="77777777" w:rsidR="00B5083E" w:rsidRDefault="00B5083E" w:rsidP="00B5083E">
      <w:pPr>
        <w:spacing w:before="120" w:after="120"/>
        <w:rPr>
          <w:b/>
          <w:bCs/>
          <w:color w:val="000000"/>
          <w:sz w:val="20"/>
          <w:szCs w:val="20"/>
          <w:lang w:val="en-US"/>
        </w:rPr>
      </w:pPr>
      <w:r w:rsidRPr="00974C1A">
        <w:rPr>
          <w:b/>
          <w:bCs/>
          <w:color w:val="000000"/>
          <w:sz w:val="20"/>
          <w:szCs w:val="20"/>
          <w:lang w:val="en-US"/>
        </w:rPr>
        <w:t xml:space="preserve">Proposal 1: </w:t>
      </w:r>
      <w:r w:rsidRPr="00F43354">
        <w:rPr>
          <w:b/>
          <w:bCs/>
          <w:color w:val="000000"/>
          <w:sz w:val="20"/>
          <w:szCs w:val="20"/>
          <w:lang w:val="en-US"/>
        </w:rPr>
        <w:t>Confirm the</w:t>
      </w:r>
      <w:r>
        <w:rPr>
          <w:b/>
          <w:bCs/>
          <w:color w:val="000000"/>
          <w:sz w:val="20"/>
          <w:szCs w:val="20"/>
          <w:lang w:val="en-US"/>
        </w:rPr>
        <w:t xml:space="preserve"> main bullet of the</w:t>
      </w:r>
      <w:r w:rsidRPr="00F43354">
        <w:rPr>
          <w:b/>
          <w:bCs/>
          <w:color w:val="000000"/>
          <w:sz w:val="20"/>
          <w:szCs w:val="20"/>
          <w:lang w:val="en-US"/>
        </w:rPr>
        <w:t xml:space="preserve"> working assumption</w:t>
      </w:r>
      <w:r>
        <w:rPr>
          <w:b/>
          <w:bCs/>
          <w:color w:val="000000"/>
          <w:sz w:val="20"/>
          <w:szCs w:val="20"/>
          <w:lang w:val="en-US"/>
        </w:rPr>
        <w:t xml:space="preserve">, i.e., </w:t>
      </w:r>
      <w:r w:rsidRPr="009E19E6">
        <w:rPr>
          <w:b/>
          <w:bCs/>
          <w:color w:val="000000"/>
          <w:sz w:val="20"/>
          <w:szCs w:val="20"/>
        </w:rPr>
        <w:t>The action of group common TPC commands with format 2_2 does not constitute an event that violates power consistency and phase continuity</w:t>
      </w:r>
      <w:r>
        <w:rPr>
          <w:b/>
          <w:bCs/>
          <w:color w:val="000000"/>
          <w:sz w:val="20"/>
          <w:szCs w:val="20"/>
          <w:lang w:val="en-US"/>
        </w:rPr>
        <w:t>.</w:t>
      </w:r>
    </w:p>
    <w:p w14:paraId="1EA04354" w14:textId="77777777" w:rsidR="00B5083E" w:rsidRDefault="00B5083E" w:rsidP="00B5083E">
      <w:pPr>
        <w:spacing w:before="120" w:after="120"/>
        <w:rPr>
          <w:b/>
          <w:bCs/>
          <w:color w:val="000000"/>
          <w:sz w:val="20"/>
          <w:szCs w:val="20"/>
          <w:lang w:val="en-US"/>
        </w:rPr>
      </w:pPr>
      <w:r w:rsidRPr="00974C1A">
        <w:rPr>
          <w:b/>
          <w:bCs/>
          <w:color w:val="000000"/>
          <w:sz w:val="20"/>
          <w:szCs w:val="20"/>
          <w:lang w:val="en-US"/>
        </w:rPr>
        <w:t xml:space="preserve">Proposal </w:t>
      </w:r>
      <w:r>
        <w:rPr>
          <w:b/>
          <w:bCs/>
          <w:color w:val="000000"/>
          <w:sz w:val="20"/>
          <w:szCs w:val="20"/>
          <w:lang w:val="en-US"/>
        </w:rPr>
        <w:t>2</w:t>
      </w:r>
      <w:r w:rsidRPr="00974C1A">
        <w:rPr>
          <w:b/>
          <w:bCs/>
          <w:color w:val="000000"/>
          <w:sz w:val="20"/>
          <w:szCs w:val="20"/>
          <w:lang w:val="en-US"/>
        </w:rPr>
        <w:t>:</w:t>
      </w:r>
      <w:r>
        <w:rPr>
          <w:b/>
          <w:bCs/>
          <w:color w:val="000000"/>
          <w:sz w:val="20"/>
          <w:szCs w:val="20"/>
          <w:lang w:val="en-US"/>
        </w:rPr>
        <w:t xml:space="preserve"> The timeline should be satisfied whenever the TPC command is to be applied to the current TDW.</w:t>
      </w:r>
    </w:p>
    <w:p w14:paraId="0B25D533" w14:textId="3B09F54A" w:rsidR="009843D2" w:rsidRDefault="00B5083E" w:rsidP="00B5083E">
      <w:pPr>
        <w:spacing w:before="120" w:after="120"/>
        <w:rPr>
          <w:b/>
          <w:bCs/>
          <w:color w:val="000000"/>
          <w:sz w:val="20"/>
          <w:szCs w:val="20"/>
          <w:lang w:val="en-US"/>
        </w:rPr>
      </w:pPr>
      <w:r>
        <w:rPr>
          <w:b/>
          <w:bCs/>
          <w:color w:val="000000"/>
          <w:sz w:val="20"/>
          <w:szCs w:val="20"/>
          <w:lang w:val="en-US"/>
        </w:rPr>
        <w:t xml:space="preserve">Proposal 3: </w:t>
      </w:r>
      <m:oMath>
        <m:sSub>
          <m:sSubPr>
            <m:ctrlPr>
              <w:rPr>
                <w:rFonts w:ascii="Cambria Math" w:hAnsi="Cambria Math"/>
                <w:b/>
                <w:bCs/>
                <w:color w:val="000000"/>
                <w:sz w:val="20"/>
                <w:szCs w:val="20"/>
              </w:rPr>
            </m:ctrlPr>
          </m:sSubPr>
          <m:e>
            <m:r>
              <m:rPr>
                <m:sty m:val="bi"/>
              </m:rPr>
              <w:rPr>
                <w:rFonts w:ascii="Cambria Math" w:hAnsi="Cambria Math"/>
                <w:color w:val="000000"/>
                <w:sz w:val="20"/>
                <w:szCs w:val="20"/>
              </w:rPr>
              <m:t>K</m:t>
            </m:r>
          </m:e>
          <m:sub>
            <m:r>
              <m:rPr>
                <m:sty m:val="b"/>
              </m:rPr>
              <w:rPr>
                <w:rFonts w:ascii="Cambria Math" w:hAnsi="Cambria Math"/>
                <w:color w:val="000000"/>
                <w:sz w:val="20"/>
                <w:szCs w:val="20"/>
              </w:rPr>
              <m:t>PUSCH</m:t>
            </m:r>
          </m:sub>
        </m:sSub>
        <m:d>
          <m:dPr>
            <m:ctrlPr>
              <w:rPr>
                <w:rFonts w:ascii="Cambria Math" w:hAnsi="Cambria Math"/>
                <w:b/>
                <w:bCs/>
                <w:i/>
                <w:color w:val="000000"/>
                <w:sz w:val="20"/>
                <w:szCs w:val="20"/>
              </w:rPr>
            </m:ctrlPr>
          </m:dPr>
          <m:e>
            <m:r>
              <m:rPr>
                <m:sty m:val="bi"/>
              </m:rPr>
              <w:rPr>
                <w:rFonts w:ascii="Cambria Math" w:hAnsi="Cambria Math"/>
                <w:color w:val="000000"/>
                <w:sz w:val="20"/>
                <w:szCs w:val="20"/>
              </w:rPr>
              <m:t>i</m:t>
            </m:r>
          </m:e>
        </m:d>
      </m:oMath>
      <w:r w:rsidRPr="00507CC4">
        <w:rPr>
          <w:b/>
          <w:bCs/>
          <w:color w:val="000000"/>
          <w:sz w:val="20"/>
          <w:szCs w:val="20"/>
          <w:lang w:val="en-US"/>
        </w:rPr>
        <w:t xml:space="preserve"> </w:t>
      </w:r>
      <w:r>
        <w:rPr>
          <w:b/>
          <w:bCs/>
          <w:color w:val="000000"/>
          <w:sz w:val="20"/>
          <w:szCs w:val="20"/>
          <w:lang w:val="en-US"/>
        </w:rPr>
        <w:t xml:space="preserve">defined </w:t>
      </w:r>
      <w:r w:rsidRPr="00507CC4">
        <w:rPr>
          <w:b/>
          <w:bCs/>
          <w:color w:val="000000"/>
          <w:sz w:val="20"/>
          <w:szCs w:val="20"/>
          <w:lang w:val="en-US"/>
        </w:rPr>
        <w:t xml:space="preserve">for CG-PUSCH </w:t>
      </w:r>
      <w:r>
        <w:rPr>
          <w:b/>
          <w:bCs/>
          <w:color w:val="000000"/>
          <w:sz w:val="20"/>
          <w:szCs w:val="20"/>
          <w:lang w:val="en-US"/>
        </w:rPr>
        <w:t>is</w:t>
      </w:r>
      <w:r w:rsidRPr="00507CC4">
        <w:rPr>
          <w:b/>
          <w:bCs/>
          <w:color w:val="000000"/>
          <w:sz w:val="20"/>
          <w:szCs w:val="20"/>
          <w:lang w:val="en-US"/>
        </w:rPr>
        <w:t xml:space="preserve"> applied to </w:t>
      </w:r>
      <w:r>
        <w:rPr>
          <w:b/>
          <w:bCs/>
          <w:color w:val="000000"/>
          <w:sz w:val="20"/>
          <w:szCs w:val="20"/>
          <w:lang w:val="en-US"/>
        </w:rPr>
        <w:t xml:space="preserve">both </w:t>
      </w:r>
      <w:r w:rsidRPr="00507CC4">
        <w:rPr>
          <w:b/>
          <w:bCs/>
          <w:color w:val="000000"/>
          <w:sz w:val="20"/>
          <w:szCs w:val="20"/>
          <w:lang w:val="en-US"/>
        </w:rPr>
        <w:t xml:space="preserve">CG-PUSCH </w:t>
      </w:r>
      <w:r>
        <w:rPr>
          <w:b/>
          <w:bCs/>
          <w:color w:val="000000"/>
          <w:sz w:val="20"/>
          <w:szCs w:val="20"/>
          <w:lang w:val="en-US"/>
        </w:rPr>
        <w:t xml:space="preserve">and DG-PUSCH </w:t>
      </w:r>
      <w:r w:rsidRPr="00507CC4">
        <w:rPr>
          <w:b/>
          <w:bCs/>
          <w:color w:val="000000"/>
          <w:sz w:val="20"/>
          <w:szCs w:val="20"/>
          <w:lang w:val="en-US"/>
        </w:rPr>
        <w:t>in case of DMRS bundling is enabled</w:t>
      </w:r>
      <w:r>
        <w:rPr>
          <w:b/>
          <w:bCs/>
          <w:color w:val="000000"/>
          <w:sz w:val="20"/>
          <w:szCs w:val="20"/>
          <w:lang w:val="en-US"/>
        </w:rPr>
        <w:t>.</w:t>
      </w:r>
      <w:r w:rsidR="009843D2" w:rsidRPr="00E60DF7">
        <w:rPr>
          <w:b/>
          <w:bCs/>
          <w:color w:val="000000"/>
          <w:sz w:val="20"/>
          <w:szCs w:val="20"/>
          <w:lang w:val="en-US"/>
        </w:rPr>
        <w:t xml:space="preserve"> </w:t>
      </w:r>
    </w:p>
    <w:p w14:paraId="4949E188" w14:textId="4ED5FCE2" w:rsidR="0000192E" w:rsidRPr="00974C1A" w:rsidRDefault="0017048A" w:rsidP="0000192E">
      <w:pPr>
        <w:pStyle w:val="Heading1"/>
        <w:rPr>
          <w:sz w:val="20"/>
        </w:rPr>
      </w:pPr>
      <w:r w:rsidRPr="00974C1A">
        <w:rPr>
          <w:sz w:val="20"/>
        </w:rPr>
        <w:t>References</w:t>
      </w:r>
      <w:bookmarkStart w:id="2" w:name="_Ref523487962"/>
      <w:bookmarkStart w:id="3" w:name="_Ref523653838"/>
    </w:p>
    <w:p w14:paraId="325DFB65" w14:textId="768D0E07" w:rsidR="0000192E" w:rsidRDefault="00707AC9" w:rsidP="0000192E">
      <w:pPr>
        <w:widowControl w:val="0"/>
        <w:numPr>
          <w:ilvl w:val="0"/>
          <w:numId w:val="5"/>
        </w:numPr>
        <w:jc w:val="both"/>
        <w:rPr>
          <w:sz w:val="20"/>
          <w:szCs w:val="20"/>
          <w:lang w:val="en-GB"/>
        </w:rPr>
      </w:pPr>
      <w:r w:rsidRPr="00707AC9">
        <w:rPr>
          <w:sz w:val="20"/>
          <w:szCs w:val="20"/>
          <w:lang w:val="en-GB"/>
        </w:rPr>
        <w:t>R1-2200851</w:t>
      </w:r>
      <w:r w:rsidR="0000192E" w:rsidRPr="00974C1A">
        <w:rPr>
          <w:sz w:val="20"/>
          <w:szCs w:val="20"/>
          <w:lang w:val="en-GB"/>
        </w:rPr>
        <w:t>, “Report of RAN1#10</w:t>
      </w:r>
      <w:r w:rsidR="009441D7">
        <w:rPr>
          <w:sz w:val="20"/>
          <w:szCs w:val="20"/>
          <w:lang w:val="en-GB"/>
        </w:rPr>
        <w:t>7</w:t>
      </w:r>
      <w:r w:rsidR="003E527D">
        <w:rPr>
          <w:sz w:val="20"/>
          <w:szCs w:val="20"/>
          <w:lang w:val="en-GB"/>
        </w:rPr>
        <w:t>bis</w:t>
      </w:r>
      <w:r w:rsidR="0000192E" w:rsidRPr="00974C1A">
        <w:rPr>
          <w:sz w:val="20"/>
          <w:szCs w:val="20"/>
          <w:lang w:val="en-GB"/>
        </w:rPr>
        <w:t>-e meeting”, ETSI MCC</w:t>
      </w:r>
    </w:p>
    <w:p w14:paraId="11A6AD82" w14:textId="65B4F9FE" w:rsidR="003E527D" w:rsidRPr="003E527D" w:rsidRDefault="003E527D" w:rsidP="003E527D">
      <w:pPr>
        <w:widowControl w:val="0"/>
        <w:numPr>
          <w:ilvl w:val="0"/>
          <w:numId w:val="5"/>
        </w:numPr>
        <w:jc w:val="both"/>
        <w:rPr>
          <w:sz w:val="20"/>
          <w:szCs w:val="20"/>
          <w:lang w:val="en-GB"/>
        </w:rPr>
      </w:pPr>
      <w:r w:rsidRPr="00974C1A">
        <w:rPr>
          <w:sz w:val="20"/>
          <w:szCs w:val="20"/>
          <w:lang w:val="en-GB"/>
        </w:rPr>
        <w:t>R1-</w:t>
      </w:r>
      <w:r w:rsidRPr="00CC32D2">
        <w:rPr>
          <w:sz w:val="20"/>
          <w:szCs w:val="20"/>
          <w:lang w:val="en-GB"/>
        </w:rPr>
        <w:t>2200002</w:t>
      </w:r>
      <w:r w:rsidRPr="00974C1A">
        <w:rPr>
          <w:sz w:val="20"/>
          <w:szCs w:val="20"/>
          <w:lang w:val="en-GB"/>
        </w:rPr>
        <w:t>, “Report of RAN1#10</w:t>
      </w:r>
      <w:r>
        <w:rPr>
          <w:sz w:val="20"/>
          <w:szCs w:val="20"/>
          <w:lang w:val="en-GB"/>
        </w:rPr>
        <w:t>7</w:t>
      </w:r>
      <w:r w:rsidRPr="00974C1A">
        <w:rPr>
          <w:sz w:val="20"/>
          <w:szCs w:val="20"/>
          <w:lang w:val="en-GB"/>
        </w:rPr>
        <w:t>-e meeting”, ETSI MCC</w:t>
      </w:r>
    </w:p>
    <w:p w14:paraId="4AC04D97" w14:textId="7DA4BF06" w:rsidR="00F64232" w:rsidRPr="001239EE" w:rsidRDefault="009C29D8" w:rsidP="00BE64E0">
      <w:pPr>
        <w:widowControl w:val="0"/>
        <w:numPr>
          <w:ilvl w:val="0"/>
          <w:numId w:val="5"/>
        </w:numPr>
        <w:jc w:val="both"/>
        <w:rPr>
          <w:sz w:val="20"/>
          <w:szCs w:val="20"/>
          <w:lang w:val="en-GB"/>
        </w:rPr>
      </w:pPr>
      <w:r>
        <w:rPr>
          <w:sz w:val="20"/>
          <w:szCs w:val="20"/>
          <w:lang w:val="en-US"/>
        </w:rPr>
        <w:t>R1-2112946, “</w:t>
      </w:r>
      <w:r w:rsidR="00F64232" w:rsidRPr="00F64232">
        <w:rPr>
          <w:sz w:val="20"/>
          <w:szCs w:val="20"/>
          <w:lang w:val="en-US"/>
        </w:rPr>
        <w:t>Introduction of NR coverage enhancements</w:t>
      </w:r>
      <w:r>
        <w:rPr>
          <w:sz w:val="20"/>
          <w:szCs w:val="20"/>
          <w:lang w:val="en-US"/>
        </w:rPr>
        <w:t>”,</w:t>
      </w:r>
      <w:r w:rsidR="00F64232" w:rsidRPr="00F64232">
        <w:rPr>
          <w:sz w:val="20"/>
          <w:szCs w:val="20"/>
          <w:lang w:val="en-US"/>
        </w:rPr>
        <w:t xml:space="preserve"> Nokia</w:t>
      </w:r>
    </w:p>
    <w:p w14:paraId="344134C7" w14:textId="41107B81" w:rsidR="001239EE" w:rsidRPr="001239EE" w:rsidRDefault="001239EE" w:rsidP="00BE64E0">
      <w:pPr>
        <w:widowControl w:val="0"/>
        <w:numPr>
          <w:ilvl w:val="0"/>
          <w:numId w:val="5"/>
        </w:numPr>
        <w:jc w:val="both"/>
        <w:rPr>
          <w:sz w:val="20"/>
          <w:szCs w:val="20"/>
          <w:lang w:val="en-GB"/>
        </w:rPr>
      </w:pPr>
      <w:r w:rsidRPr="00AF0BF8">
        <w:rPr>
          <w:sz w:val="20"/>
          <w:szCs w:val="20"/>
          <w:lang w:val="en-GB"/>
        </w:rPr>
        <w:t>R1-2102281</w:t>
      </w:r>
      <w:r w:rsidRPr="008733FD">
        <w:rPr>
          <w:sz w:val="20"/>
          <w:szCs w:val="20"/>
        </w:rPr>
        <w:t>, “</w:t>
      </w:r>
      <w:r w:rsidRPr="00AF0BF8">
        <w:rPr>
          <w:sz w:val="20"/>
          <w:szCs w:val="20"/>
          <w:lang w:val="en-GB"/>
        </w:rPr>
        <w:t>Report of RAN1#104-e meeting</w:t>
      </w:r>
      <w:r w:rsidRPr="008733FD">
        <w:rPr>
          <w:sz w:val="20"/>
          <w:szCs w:val="20"/>
        </w:rPr>
        <w:t xml:space="preserve">”, </w:t>
      </w:r>
      <w:r w:rsidRPr="00AF0BF8">
        <w:rPr>
          <w:sz w:val="20"/>
          <w:szCs w:val="20"/>
          <w:lang w:val="en-US"/>
        </w:rPr>
        <w:t>ETSI MCC</w:t>
      </w:r>
    </w:p>
    <w:p w14:paraId="43BF44CD" w14:textId="77777777" w:rsidR="001239EE" w:rsidRPr="00B76546" w:rsidRDefault="001239EE" w:rsidP="001239EE">
      <w:pPr>
        <w:widowControl w:val="0"/>
        <w:numPr>
          <w:ilvl w:val="0"/>
          <w:numId w:val="5"/>
        </w:numPr>
        <w:jc w:val="both"/>
        <w:rPr>
          <w:sz w:val="20"/>
          <w:szCs w:val="20"/>
          <w:lang w:val="en-GB"/>
        </w:rPr>
      </w:pPr>
      <w:r w:rsidRPr="00B76546">
        <w:rPr>
          <w:sz w:val="20"/>
          <w:szCs w:val="20"/>
          <w:lang w:val="en-GB"/>
        </w:rPr>
        <w:t>R1-2106402, “Report of RAN1#105-e meeting”, ETSI MCC</w:t>
      </w:r>
      <w:bookmarkEnd w:id="2"/>
      <w:bookmarkEnd w:id="3"/>
    </w:p>
    <w:sectPr w:rsidR="001239EE" w:rsidRPr="00B76546"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AE010" w14:textId="77777777" w:rsidR="004F7B4D" w:rsidRDefault="004F7B4D">
      <w:r>
        <w:separator/>
      </w:r>
    </w:p>
  </w:endnote>
  <w:endnote w:type="continuationSeparator" w:id="0">
    <w:p w14:paraId="2D9D6B86" w14:textId="77777777" w:rsidR="004F7B4D" w:rsidRDefault="004F7B4D">
      <w:r>
        <w:continuationSeparator/>
      </w:r>
    </w:p>
  </w:endnote>
  <w:endnote w:type="continuationNotice" w:id="1">
    <w:p w14:paraId="34AD53E4" w14:textId="77777777" w:rsidR="004F7B4D" w:rsidRDefault="004F7B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B7143" w14:textId="77777777" w:rsidR="004F7B4D" w:rsidRDefault="004F7B4D">
      <w:r>
        <w:separator/>
      </w:r>
    </w:p>
  </w:footnote>
  <w:footnote w:type="continuationSeparator" w:id="0">
    <w:p w14:paraId="5B4AEE51" w14:textId="77777777" w:rsidR="004F7B4D" w:rsidRDefault="004F7B4D">
      <w:r>
        <w:continuationSeparator/>
      </w:r>
    </w:p>
  </w:footnote>
  <w:footnote w:type="continuationNotice" w:id="1">
    <w:p w14:paraId="3E099DEC" w14:textId="77777777" w:rsidR="004F7B4D" w:rsidRDefault="004F7B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D20F07"/>
    <w:multiLevelType w:val="multilevel"/>
    <w:tmpl w:val="4640554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921F39"/>
    <w:multiLevelType w:val="hybridMultilevel"/>
    <w:tmpl w:val="9DE27B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FD5FE3"/>
    <w:multiLevelType w:val="multilevel"/>
    <w:tmpl w:val="A3D80EC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E07F73"/>
    <w:multiLevelType w:val="multilevel"/>
    <w:tmpl w:val="59CECD4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8943DD7"/>
    <w:multiLevelType w:val="multilevel"/>
    <w:tmpl w:val="13B8E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7585B"/>
    <w:multiLevelType w:val="multilevel"/>
    <w:tmpl w:val="EB30524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9"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D542E2"/>
    <w:multiLevelType w:val="hybridMultilevel"/>
    <w:tmpl w:val="280CCD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B0823"/>
    <w:multiLevelType w:val="hybridMultilevel"/>
    <w:tmpl w:val="7E3AE468"/>
    <w:lvl w:ilvl="0" w:tplc="04090009">
      <w:start w:val="1"/>
      <w:numFmt w:val="bullet"/>
      <w:lvlText w:val=""/>
      <w:lvlJc w:val="left"/>
      <w:pPr>
        <w:ind w:left="1584" w:hanging="360"/>
      </w:pPr>
      <w:rPr>
        <w:rFonts w:ascii="Wingdings" w:hAnsi="Wingdings"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8114B7A"/>
    <w:multiLevelType w:val="multilevel"/>
    <w:tmpl w:val="76A87D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EB5E48"/>
    <w:multiLevelType w:val="hybridMultilevel"/>
    <w:tmpl w:val="A0AEDD90"/>
    <w:lvl w:ilvl="0" w:tplc="04090003">
      <w:start w:val="1"/>
      <w:numFmt w:val="bullet"/>
      <w:lvlText w:val="o"/>
      <w:lvlJc w:val="left"/>
      <w:pPr>
        <w:ind w:left="1224" w:hanging="360"/>
      </w:pPr>
      <w:rPr>
        <w:rFonts w:ascii="Courier New" w:hAnsi="Courier New" w:cs="Courier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0" w15:restartNumberingAfterBreak="0">
    <w:nsid w:val="651108E5"/>
    <w:multiLevelType w:val="hybridMultilevel"/>
    <w:tmpl w:val="5C64E4D8"/>
    <w:lvl w:ilvl="0" w:tplc="A0D818FE">
      <w:start w:val="1"/>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DF407DA"/>
    <w:multiLevelType w:val="multilevel"/>
    <w:tmpl w:val="EBEA09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2451946"/>
    <w:multiLevelType w:val="multilevel"/>
    <w:tmpl w:val="7668183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34" w15:restartNumberingAfterBreak="0">
    <w:nsid w:val="78D13217"/>
    <w:multiLevelType w:val="multilevel"/>
    <w:tmpl w:val="C8FE70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91A3493"/>
    <w:multiLevelType w:val="multilevel"/>
    <w:tmpl w:val="2DF6B8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8" w15:restartNumberingAfterBreak="0">
    <w:nsid w:val="7CCC6BD6"/>
    <w:multiLevelType w:val="hybridMultilevel"/>
    <w:tmpl w:val="9B7A1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1"/>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28"/>
  </w:num>
  <w:num w:numId="8">
    <w:abstractNumId w:val="16"/>
  </w:num>
  <w:num w:numId="9">
    <w:abstractNumId w:val="21"/>
  </w:num>
  <w:num w:numId="10">
    <w:abstractNumId w:val="24"/>
  </w:num>
  <w:num w:numId="11">
    <w:abstractNumId w:val="13"/>
  </w:num>
  <w:num w:numId="12">
    <w:abstractNumId w:val="10"/>
  </w:num>
  <w:num w:numId="13">
    <w:abstractNumId w:val="35"/>
  </w:num>
  <w:num w:numId="14">
    <w:abstractNumId w:val="7"/>
  </w:num>
  <w:num w:numId="15">
    <w:abstractNumId w:val="32"/>
  </w:num>
  <w:num w:numId="16">
    <w:abstractNumId w:val="34"/>
  </w:num>
  <w:num w:numId="17">
    <w:abstractNumId w:val="18"/>
  </w:num>
  <w:num w:numId="18">
    <w:abstractNumId w:val="3"/>
  </w:num>
  <w:num w:numId="19">
    <w:abstractNumId w:val="33"/>
  </w:num>
  <w:num w:numId="20">
    <w:abstractNumId w:val="30"/>
  </w:num>
  <w:num w:numId="21">
    <w:abstractNumId w:val="29"/>
  </w:num>
  <w:num w:numId="22">
    <w:abstractNumId w:val="22"/>
  </w:num>
  <w:num w:numId="23">
    <w:abstractNumId w:val="4"/>
  </w:num>
  <w:num w:numId="24">
    <w:abstractNumId w:val="36"/>
  </w:num>
  <w:num w:numId="25">
    <w:abstractNumId w:val="27"/>
  </w:num>
  <w:num w:numId="26">
    <w:abstractNumId w:val="5"/>
  </w:num>
  <w:num w:numId="27">
    <w:abstractNumId w:val="14"/>
  </w:num>
  <w:num w:numId="28">
    <w:abstractNumId w:val="2"/>
  </w:num>
  <w:num w:numId="29">
    <w:abstractNumId w:val="17"/>
  </w:num>
  <w:num w:numId="30">
    <w:abstractNumId w:val="23"/>
  </w:num>
  <w:num w:numId="31">
    <w:abstractNumId w:val="19"/>
  </w:num>
  <w:num w:numId="32">
    <w:abstractNumId w:val="0"/>
  </w:num>
  <w:num w:numId="33">
    <w:abstractNumId w:val="26"/>
  </w:num>
  <w:num w:numId="34">
    <w:abstractNumId w:val="12"/>
  </w:num>
  <w:num w:numId="35">
    <w:abstractNumId w:val="15"/>
  </w:num>
  <w:num w:numId="36">
    <w:abstractNumId w:val="20"/>
  </w:num>
  <w:num w:numId="37">
    <w:abstractNumId w:val="25"/>
  </w:num>
  <w:num w:numId="38">
    <w:abstractNumId w:val="38"/>
  </w:num>
  <w:num w:numId="39">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B6B"/>
    <w:rsid w:val="00526C7A"/>
    <w:rsid w:val="00526C8A"/>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7BB"/>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8A3"/>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A49"/>
    <w:rsid w:val="00F05C3F"/>
    <w:rsid w:val="00F05C50"/>
    <w:rsid w:val="00F05D3C"/>
    <w:rsid w:val="00F05EED"/>
    <w:rsid w:val="00F060C7"/>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9F"/>
    <w:rsid w:val="00F6583A"/>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354"/>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13</TotalTime>
  <Pages>2</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6</cp:revision>
  <cp:lastPrinted>2019-08-16T17:50:00Z</cp:lastPrinted>
  <dcterms:created xsi:type="dcterms:W3CDTF">2022-02-10T06:03:00Z</dcterms:created>
  <dcterms:modified xsi:type="dcterms:W3CDTF">2022-02-14T02:39:00Z</dcterms:modified>
  <cp:category/>
</cp:coreProperties>
</file>